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6F935" w14:textId="0C4359A3" w:rsidR="00DA610C" w:rsidRDefault="00BE1760">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3GPP TSG RAN WG1 #11</w:t>
      </w:r>
      <w:r w:rsidR="00C63E01">
        <w:rPr>
          <w:rFonts w:ascii="Arial" w:hAnsi="Arial" w:cs="Arial"/>
          <w:b/>
        </w:rPr>
        <w:t>2</w:t>
      </w:r>
      <w:r>
        <w:rPr>
          <w:rFonts w:ascii="Arial" w:hAnsi="Arial" w:cs="Arial"/>
          <w:b/>
        </w:rPr>
        <w:t xml:space="preserve">                                        </w:t>
      </w:r>
      <w:r>
        <w:rPr>
          <w:rFonts w:ascii="Arial" w:hAnsi="Arial" w:cs="Arial" w:hint="eastAsia"/>
          <w:b/>
        </w:rPr>
        <w:t xml:space="preserve"> </w:t>
      </w:r>
      <w:r>
        <w:rPr>
          <w:rFonts w:ascii="Arial" w:hAnsi="Arial" w:cs="Arial"/>
          <w:b/>
        </w:rPr>
        <w:t>R1-2</w:t>
      </w:r>
      <w:r w:rsidR="00C63E01">
        <w:rPr>
          <w:rFonts w:ascii="Arial" w:hAnsi="Arial" w:cs="Arial"/>
          <w:b/>
        </w:rPr>
        <w:t>3</w:t>
      </w:r>
      <w:r w:rsidR="00012D9D">
        <w:rPr>
          <w:rFonts w:ascii="Arial" w:hAnsi="Arial" w:cs="Arial"/>
          <w:b/>
        </w:rPr>
        <w:t>00802</w:t>
      </w:r>
    </w:p>
    <w:p w14:paraId="70D338D2" w14:textId="1F14BA03" w:rsidR="00DA610C" w:rsidRDefault="00C63E01">
      <w:pPr>
        <w:snapToGrid w:val="0"/>
        <w:rPr>
          <w:rFonts w:ascii="Arial" w:eastAsia="MS Mincho" w:hAnsi="Arial" w:cs="Arial"/>
          <w:b/>
          <w:bCs/>
          <w:sz w:val="28"/>
          <w:szCs w:val="28"/>
        </w:rPr>
      </w:pPr>
      <w:bookmarkStart w:id="6" w:name="_Hlk118396218"/>
      <w:r>
        <w:rPr>
          <w:rFonts w:ascii="Arial" w:hAnsi="Arial" w:cs="Arial"/>
          <w:b/>
          <w:lang w:eastAsia="ja-JP"/>
        </w:rPr>
        <w:t>Athens</w:t>
      </w:r>
      <w:r w:rsidR="00B6513A">
        <w:rPr>
          <w:rFonts w:ascii="Arial" w:hAnsi="Arial" w:cs="Arial"/>
          <w:b/>
          <w:lang w:eastAsia="ja-JP"/>
        </w:rPr>
        <w:t xml:space="preserve">, </w:t>
      </w:r>
      <w:r>
        <w:rPr>
          <w:rFonts w:ascii="Arial" w:hAnsi="Arial" w:cs="Arial"/>
          <w:b/>
          <w:lang w:eastAsia="ja-JP"/>
        </w:rPr>
        <w:t>Greece</w:t>
      </w:r>
      <w:r w:rsidR="00B6513A">
        <w:rPr>
          <w:rFonts w:ascii="Arial" w:hAnsi="Arial" w:cs="Arial"/>
          <w:b/>
          <w:lang w:eastAsia="ja-JP"/>
        </w:rPr>
        <w:t xml:space="preserve">, </w:t>
      </w:r>
      <w:r>
        <w:rPr>
          <w:rFonts w:ascii="Arial" w:hAnsi="Arial" w:cs="Arial"/>
          <w:b/>
          <w:lang w:eastAsia="ja-JP"/>
        </w:rPr>
        <w:t>February</w:t>
      </w:r>
      <w:r w:rsidR="00B6513A">
        <w:rPr>
          <w:rFonts w:ascii="Arial" w:hAnsi="Arial" w:cs="Arial"/>
          <w:b/>
          <w:lang w:eastAsia="ja-JP"/>
        </w:rPr>
        <w:t xml:space="preserve"> </w:t>
      </w:r>
      <w:r>
        <w:rPr>
          <w:rFonts w:ascii="Arial" w:hAnsi="Arial" w:cs="Arial"/>
          <w:b/>
          <w:lang w:eastAsia="ja-JP"/>
        </w:rPr>
        <w:t>27</w:t>
      </w:r>
      <w:r w:rsidR="00B6513A">
        <w:rPr>
          <w:rFonts w:ascii="Arial" w:hAnsi="Arial" w:cs="Arial"/>
          <w:b/>
          <w:vertAlign w:val="superscript"/>
          <w:lang w:eastAsia="ja-JP"/>
        </w:rPr>
        <w:t>th</w:t>
      </w:r>
      <w:r w:rsidR="00B6513A">
        <w:rPr>
          <w:rFonts w:ascii="Arial" w:hAnsi="Arial" w:cs="Arial"/>
          <w:b/>
          <w:lang w:eastAsia="ja-JP"/>
        </w:rPr>
        <w:t xml:space="preserve"> – </w:t>
      </w:r>
      <w:r>
        <w:rPr>
          <w:rFonts w:ascii="Arial" w:hAnsi="Arial" w:cs="Arial"/>
          <w:b/>
          <w:lang w:eastAsia="ja-JP"/>
        </w:rPr>
        <w:t>March 3</w:t>
      </w:r>
      <w:r>
        <w:rPr>
          <w:rFonts w:ascii="Arial" w:hAnsi="Arial" w:cs="Arial"/>
          <w:b/>
          <w:vertAlign w:val="superscript"/>
          <w:lang w:eastAsia="ja-JP"/>
        </w:rPr>
        <w:t>rd</w:t>
      </w:r>
      <w:r w:rsidR="00B6513A">
        <w:rPr>
          <w:rFonts w:ascii="Arial" w:hAnsi="Arial" w:cs="Arial"/>
          <w:b/>
          <w:lang w:eastAsia="ja-JP"/>
        </w:rPr>
        <w:t xml:space="preserve">, </w:t>
      </w:r>
      <w:r w:rsidR="00B6513A">
        <w:rPr>
          <w:rFonts w:ascii="Arial" w:hAnsi="Arial" w:cs="Arial"/>
          <w:b/>
        </w:rPr>
        <w:t>202</w:t>
      </w:r>
      <w:r>
        <w:rPr>
          <w:rFonts w:ascii="Arial" w:hAnsi="Arial" w:cs="Arial"/>
          <w:b/>
        </w:rPr>
        <w:t>3</w:t>
      </w:r>
    </w:p>
    <w:bookmarkEnd w:id="6"/>
    <w:p w14:paraId="7237D6EF" w14:textId="77777777" w:rsidR="00DA610C"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39DED37A"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 xml:space="preserve">Title:            Discussion on </w:t>
      </w:r>
      <w:r w:rsidR="00D356E2" w:rsidRPr="00D356E2">
        <w:rPr>
          <w:rFonts w:ascii="Arial" w:hAnsi="Arial" w:cs="Arial"/>
          <w:b/>
        </w:rPr>
        <w:t>SL positioning reference signal</w:t>
      </w:r>
    </w:p>
    <w:bookmarkEnd w:id="1"/>
    <w:p w14:paraId="75ECF942" w14:textId="3DA00195"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Agenda item:    9.5.1.</w:t>
      </w:r>
      <w:r w:rsidR="00EB5779">
        <w:rPr>
          <w:rFonts w:ascii="Arial" w:hAnsi="Arial" w:cs="Arial"/>
          <w:b/>
        </w:rPr>
        <w:t>1</w:t>
      </w:r>
      <w:r>
        <w:rPr>
          <w:rFonts w:ascii="Arial" w:hAnsi="Arial" w:cs="Arial"/>
          <w:b/>
        </w:rPr>
        <w:t xml:space="preserve">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p w14:paraId="6D02EAED" w14:textId="3D972F18" w:rsidR="0056352E" w:rsidRDefault="00CD3597">
      <w:pPr>
        <w:snapToGrid w:val="0"/>
        <w:spacing w:beforeLines="50" w:before="180" w:afterLines="50" w:after="180"/>
        <w:jc w:val="both"/>
        <w:rPr>
          <w:iCs/>
          <w:sz w:val="20"/>
          <w:szCs w:val="20"/>
        </w:rPr>
      </w:pPr>
      <w:r>
        <w:rPr>
          <w:iCs/>
          <w:sz w:val="20"/>
          <w:szCs w:val="20"/>
        </w:rPr>
        <w:t xml:space="preserve">In RAN#98-e meeting, </w:t>
      </w:r>
      <w:r w:rsidR="00587528">
        <w:rPr>
          <w:iCs/>
          <w:sz w:val="20"/>
          <w:szCs w:val="20"/>
        </w:rPr>
        <w:t>various features have been recommended for normative work</w:t>
      </w:r>
      <w:r w:rsidR="00CE5C7B">
        <w:rPr>
          <w:iCs/>
          <w:sz w:val="20"/>
          <w:szCs w:val="20"/>
        </w:rPr>
        <w:t xml:space="preserve"> [1]</w:t>
      </w:r>
      <w:r w:rsidR="00587528">
        <w:rPr>
          <w:iCs/>
          <w:sz w:val="20"/>
          <w:szCs w:val="20"/>
        </w:rPr>
        <w:t xml:space="preserve"> for support of sidelink (SL) ranging/positioning. The following shows the expected enhancements for SL positioning reference signal</w:t>
      </w:r>
      <w:r w:rsidR="00F925B4">
        <w:rPr>
          <w:iCs/>
          <w:sz w:val="20"/>
          <w:szCs w:val="20"/>
        </w:rPr>
        <w:t xml:space="preserve"> (SL-PRS)</w:t>
      </w:r>
      <w:r w:rsidR="00137CFB">
        <w:rPr>
          <w:iCs/>
          <w:sz w:val="20"/>
          <w:szCs w:val="20"/>
        </w:rPr>
        <w:t xml:space="preserve"> including transmit power control</w:t>
      </w:r>
      <w:r w:rsidR="00587528">
        <w:rPr>
          <w:iCs/>
          <w:sz w:val="20"/>
          <w:szCs w:val="20"/>
        </w:rPr>
        <w:t xml:space="preserve"> in the WID:</w:t>
      </w:r>
    </w:p>
    <w:tbl>
      <w:tblPr>
        <w:tblStyle w:val="afc"/>
        <w:tblW w:w="0" w:type="auto"/>
        <w:tblLook w:val="04A0" w:firstRow="1" w:lastRow="0" w:firstColumn="1" w:lastColumn="0" w:noHBand="0" w:noVBand="1"/>
      </w:tblPr>
      <w:tblGrid>
        <w:gridCol w:w="9350"/>
      </w:tblGrid>
      <w:tr w:rsidR="008B6D44" w14:paraId="1186CF5B" w14:textId="77777777" w:rsidTr="008B6D44">
        <w:tc>
          <w:tcPr>
            <w:tcW w:w="9350" w:type="dxa"/>
          </w:tcPr>
          <w:p w14:paraId="62E8E857" w14:textId="77777777" w:rsidR="008B6D44" w:rsidRPr="00BA7EA0" w:rsidRDefault="008B6D44" w:rsidP="008B6D44">
            <w:pPr>
              <w:numPr>
                <w:ilvl w:val="0"/>
                <w:numId w:val="50"/>
              </w:numPr>
              <w:overflowPunct w:val="0"/>
              <w:autoSpaceDE w:val="0"/>
              <w:autoSpaceDN w:val="0"/>
              <w:adjustRightInd w:val="0"/>
              <w:snapToGrid w:val="0"/>
              <w:ind w:left="714" w:hanging="357"/>
              <w:textAlignment w:val="baseline"/>
              <w:rPr>
                <w:sz w:val="20"/>
                <w:szCs w:val="20"/>
                <w:lang w:eastAsia="ko-KR"/>
              </w:rPr>
            </w:pPr>
            <w:r w:rsidRPr="00BA7EA0">
              <w:rPr>
                <w:sz w:val="20"/>
                <w:szCs w:val="20"/>
                <w:lang w:eastAsia="ko-KR"/>
              </w:rPr>
              <w:t>Specify solutions for support of sidelink positioning (including ranging) in NR systems, including the following [RAN1, RAN2, RAN3, RAN4]:</w:t>
            </w:r>
          </w:p>
          <w:p w14:paraId="1C26430D" w14:textId="77777777" w:rsidR="008B6D44" w:rsidRPr="00BA7EA0" w:rsidRDefault="008B6D44" w:rsidP="008B6D44">
            <w:pPr>
              <w:numPr>
                <w:ilvl w:val="1"/>
                <w:numId w:val="50"/>
              </w:numPr>
              <w:overflowPunct w:val="0"/>
              <w:autoSpaceDE w:val="0"/>
              <w:autoSpaceDN w:val="0"/>
              <w:adjustRightInd w:val="0"/>
              <w:snapToGrid w:val="0"/>
              <w:textAlignment w:val="baseline"/>
              <w:rPr>
                <w:sz w:val="20"/>
                <w:szCs w:val="20"/>
                <w:lang w:eastAsia="ko-KR"/>
              </w:rPr>
            </w:pPr>
            <w:r w:rsidRPr="00BA7EA0">
              <w:rPr>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2E6FD5A" w14:textId="77777777" w:rsidR="008B6D44" w:rsidRPr="00BA7EA0" w:rsidRDefault="008B6D44" w:rsidP="008B6D44">
            <w:pPr>
              <w:numPr>
                <w:ilvl w:val="2"/>
                <w:numId w:val="50"/>
              </w:numPr>
              <w:overflowPunct w:val="0"/>
              <w:autoSpaceDE w:val="0"/>
              <w:autoSpaceDN w:val="0"/>
              <w:adjustRightInd w:val="0"/>
              <w:snapToGrid w:val="0"/>
              <w:textAlignment w:val="baseline"/>
              <w:rPr>
                <w:sz w:val="20"/>
                <w:szCs w:val="20"/>
                <w:lang w:eastAsia="ko-KR"/>
              </w:rPr>
            </w:pPr>
            <w:r w:rsidRPr="00BA7EA0">
              <w:rPr>
                <w:sz w:val="20"/>
                <w:szCs w:val="20"/>
                <w:lang w:eastAsia="ko-KR"/>
              </w:rPr>
              <w:t>Specify support for SL PRS bandwidths of up to 100 MHz in FR1 spectrum.</w:t>
            </w:r>
          </w:p>
          <w:p w14:paraId="72921EF0" w14:textId="77777777" w:rsidR="008B6D44" w:rsidRPr="00BA7EA0" w:rsidRDefault="008B6D44" w:rsidP="008B6D44">
            <w:pPr>
              <w:numPr>
                <w:ilvl w:val="2"/>
                <w:numId w:val="50"/>
              </w:numPr>
              <w:overflowPunct w:val="0"/>
              <w:autoSpaceDE w:val="0"/>
              <w:autoSpaceDN w:val="0"/>
              <w:adjustRightInd w:val="0"/>
              <w:snapToGrid w:val="0"/>
              <w:textAlignment w:val="baseline"/>
              <w:rPr>
                <w:sz w:val="20"/>
                <w:szCs w:val="20"/>
                <w:lang w:eastAsia="ko-KR"/>
              </w:rPr>
            </w:pPr>
            <w:r w:rsidRPr="00BA7EA0">
              <w:rPr>
                <w:sz w:val="20"/>
                <w:szCs w:val="20"/>
                <w:lang w:eastAsia="ko-KR"/>
              </w:rPr>
              <w:t xml:space="preserve">NOTE: SL PRS transmission in FR2 is not precluded but no FR2 specific aspects will be specified. </w:t>
            </w:r>
          </w:p>
          <w:p w14:paraId="47EAB0A0" w14:textId="434946F3" w:rsidR="008B6D44" w:rsidRPr="008B6D44" w:rsidRDefault="008B6D44" w:rsidP="008B6D44">
            <w:pPr>
              <w:numPr>
                <w:ilvl w:val="1"/>
                <w:numId w:val="50"/>
              </w:numPr>
              <w:overflowPunct w:val="0"/>
              <w:autoSpaceDE w:val="0"/>
              <w:autoSpaceDN w:val="0"/>
              <w:adjustRightInd w:val="0"/>
              <w:snapToGrid w:val="0"/>
              <w:textAlignment w:val="baseline"/>
              <w:rPr>
                <w:sz w:val="20"/>
                <w:szCs w:val="20"/>
                <w:lang w:eastAsia="ko-KR"/>
              </w:rPr>
            </w:pPr>
            <w:r w:rsidRPr="00BA7EA0">
              <w:rPr>
                <w:sz w:val="20"/>
                <w:szCs w:val="20"/>
                <w:lang w:eastAsia="ko-KR"/>
              </w:rPr>
              <w:t xml:space="preserve">Specify procedures for transmit power control for SL PRS transmissions at least based on open loop power control (OLPC) [RAN1]. </w:t>
            </w:r>
          </w:p>
        </w:tc>
      </w:tr>
    </w:tbl>
    <w:p w14:paraId="26560E0B" w14:textId="6B9738B1" w:rsidR="0093493A" w:rsidRDefault="00BE1760" w:rsidP="002B4E00">
      <w:pPr>
        <w:snapToGrid w:val="0"/>
        <w:spacing w:beforeLines="50" w:before="180" w:afterLines="50" w:after="180"/>
        <w:jc w:val="both"/>
        <w:rPr>
          <w:iCs/>
          <w:sz w:val="20"/>
          <w:szCs w:val="20"/>
        </w:rPr>
      </w:pPr>
      <w:r>
        <w:rPr>
          <w:iCs/>
          <w:sz w:val="20"/>
          <w:szCs w:val="20"/>
        </w:rPr>
        <w:t xml:space="preserve">In </w:t>
      </w:r>
      <w:r w:rsidR="00570252">
        <w:rPr>
          <w:iCs/>
          <w:sz w:val="20"/>
          <w:szCs w:val="20"/>
        </w:rPr>
        <w:t xml:space="preserve">this contribution, </w:t>
      </w:r>
      <w:r>
        <w:rPr>
          <w:iCs/>
          <w:sz w:val="20"/>
          <w:szCs w:val="20"/>
        </w:rPr>
        <w:t>we provide our solutions for SL positioning</w:t>
      </w:r>
      <w:r w:rsidR="002B4E00">
        <w:rPr>
          <w:iCs/>
          <w:sz w:val="20"/>
          <w:szCs w:val="20"/>
        </w:rPr>
        <w:t xml:space="preserve"> reference signal</w:t>
      </w:r>
      <w:r>
        <w:rPr>
          <w:iCs/>
          <w:sz w:val="20"/>
          <w:szCs w:val="20"/>
        </w:rPr>
        <w:t xml:space="preserve"> including</w:t>
      </w:r>
      <w:r w:rsidR="002B4E00">
        <w:rPr>
          <w:iCs/>
          <w:sz w:val="20"/>
          <w:szCs w:val="20"/>
        </w:rPr>
        <w:t xml:space="preserve"> sequence design</w:t>
      </w:r>
      <w:r w:rsidR="00EA7353">
        <w:rPr>
          <w:iCs/>
          <w:sz w:val="20"/>
          <w:szCs w:val="20"/>
        </w:rPr>
        <w:t xml:space="preserve">, </w:t>
      </w:r>
      <w:r w:rsidR="00815267">
        <w:rPr>
          <w:iCs/>
          <w:sz w:val="20"/>
          <w:szCs w:val="20"/>
        </w:rPr>
        <w:t>frequency and time domain behavior, AGC and Rx-Tx Turnaround time and transmit power control</w:t>
      </w:r>
      <w:r>
        <w:rPr>
          <w:iCs/>
          <w:sz w:val="20"/>
          <w:szCs w:val="20"/>
        </w:rPr>
        <w:t>.</w:t>
      </w:r>
      <w:r w:rsidR="009073C7">
        <w:rPr>
          <w:rFonts w:hint="eastAsia"/>
          <w:iCs/>
          <w:sz w:val="20"/>
          <w:szCs w:val="20"/>
        </w:rPr>
        <w:t xml:space="preserve"> </w:t>
      </w:r>
    </w:p>
    <w:bookmarkEnd w:id="7"/>
    <w:p w14:paraId="47E0AE14" w14:textId="77777777" w:rsidR="00DA610C" w:rsidRDefault="00BE1760">
      <w:pPr>
        <w:pStyle w:val="1"/>
        <w:snapToGrid w:val="0"/>
        <w:spacing w:before="120" w:afterLines="50" w:after="180"/>
        <w:ind w:left="431" w:hanging="431"/>
        <w:jc w:val="both"/>
        <w:rPr>
          <w:sz w:val="28"/>
          <w:lang w:val="en-US"/>
        </w:rPr>
      </w:pPr>
      <w:r>
        <w:rPr>
          <w:sz w:val="28"/>
          <w:lang w:val="en-US"/>
        </w:rPr>
        <w:t>Discussion</w:t>
      </w:r>
    </w:p>
    <w:p w14:paraId="0A0DE670" w14:textId="77777777" w:rsidR="00DA610C" w:rsidRDefault="00BE1760">
      <w:pPr>
        <w:pStyle w:val="2"/>
        <w:snapToGrid w:val="0"/>
        <w:spacing w:line="240" w:lineRule="auto"/>
        <w:rPr>
          <w:rFonts w:ascii="Times New Roman" w:hAnsi="Times New Roman"/>
          <w:sz w:val="20"/>
          <w:szCs w:val="20"/>
        </w:rPr>
      </w:pPr>
      <w:r>
        <w:rPr>
          <w:rFonts w:ascii="Arial" w:hAnsi="Arial" w:cs="Arial"/>
          <w:sz w:val="24"/>
          <w:szCs w:val="24"/>
        </w:rPr>
        <w:t>2.2 SL positioning reference signals</w:t>
      </w:r>
    </w:p>
    <w:p w14:paraId="524E1A6C" w14:textId="0CE84552"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CF3D61">
        <w:rPr>
          <w:rFonts w:ascii="Arial" w:hAnsi="Arial" w:cs="Arial"/>
        </w:rPr>
        <w:t>1</w:t>
      </w:r>
      <w:r>
        <w:rPr>
          <w:rFonts w:ascii="Arial" w:hAnsi="Arial" w:cs="Arial"/>
        </w:rPr>
        <w:t>.1 SL-PRS sequence design</w:t>
      </w:r>
    </w:p>
    <w:p w14:paraId="195882DE" w14:textId="3DA43131" w:rsidR="00685540" w:rsidRDefault="00BE1760" w:rsidP="00685540">
      <w:pPr>
        <w:autoSpaceDE w:val="0"/>
        <w:autoSpaceDN w:val="0"/>
        <w:adjustRightInd w:val="0"/>
        <w:snapToGrid w:val="0"/>
        <w:spacing w:beforeLines="50" w:before="180" w:afterLines="50" w:after="180"/>
        <w:jc w:val="both"/>
        <w:rPr>
          <w:bCs/>
          <w:iCs/>
          <w:sz w:val="20"/>
          <w:szCs w:val="20"/>
        </w:rPr>
      </w:pPr>
      <w:r>
        <w:rPr>
          <w:sz w:val="20"/>
          <w:szCs w:val="20"/>
        </w:rPr>
        <w:t xml:space="preserve">For SL-PRS sequence design, </w:t>
      </w:r>
      <w:r w:rsidR="00436BBC">
        <w:rPr>
          <w:sz w:val="20"/>
          <w:szCs w:val="20"/>
        </w:rPr>
        <w:t xml:space="preserve">only pseudorandom-based sequence </w:t>
      </w:r>
      <w:r>
        <w:rPr>
          <w:sz w:val="20"/>
          <w:szCs w:val="20"/>
        </w:rPr>
        <w:t xml:space="preserve">is </w:t>
      </w:r>
      <w:r w:rsidR="00436BBC">
        <w:rPr>
          <w:sz w:val="20"/>
          <w:szCs w:val="20"/>
        </w:rPr>
        <w:t>supported</w:t>
      </w:r>
      <w:r>
        <w:rPr>
          <w:sz w:val="20"/>
          <w:szCs w:val="20"/>
        </w:rPr>
        <w:t xml:space="preserve"> for unified design and better multiplexing between SL-PRS and other signals, </w:t>
      </w:r>
      <w:r w:rsidR="00685540">
        <w:rPr>
          <w:bCs/>
          <w:iCs/>
          <w:sz w:val="20"/>
          <w:szCs w:val="20"/>
        </w:rPr>
        <w:t>the following agreement was approved in RAN1#110b-e.</w:t>
      </w:r>
    </w:p>
    <w:tbl>
      <w:tblPr>
        <w:tblStyle w:val="afc"/>
        <w:tblW w:w="0" w:type="auto"/>
        <w:tblLook w:val="04A0" w:firstRow="1" w:lastRow="0" w:firstColumn="1" w:lastColumn="0" w:noHBand="0" w:noVBand="1"/>
      </w:tblPr>
      <w:tblGrid>
        <w:gridCol w:w="9350"/>
      </w:tblGrid>
      <w:tr w:rsidR="00685540" w14:paraId="206371C2" w14:textId="77777777" w:rsidTr="00140683">
        <w:tc>
          <w:tcPr>
            <w:tcW w:w="9350" w:type="dxa"/>
          </w:tcPr>
          <w:p w14:paraId="73A14C1F" w14:textId="77777777" w:rsidR="00685540" w:rsidRDefault="00685540" w:rsidP="0014068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DF23A6D" w14:textId="77777777" w:rsidR="00685540" w:rsidRPr="00B75FAD" w:rsidRDefault="00685540" w:rsidP="00140683">
            <w:pPr>
              <w:snapToGrid w:val="0"/>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For the sequence of the new reference signal for SL positioning/ranging, use</w:t>
            </w:r>
          </w:p>
          <w:p w14:paraId="504FCC75" w14:textId="20EDEBC6" w:rsidR="00685540" w:rsidRPr="00955E54" w:rsidRDefault="00685540" w:rsidP="00955E54">
            <w:pPr>
              <w:numPr>
                <w:ilvl w:val="0"/>
                <w:numId w:val="26"/>
              </w:numPr>
              <w:snapToGrid w:val="0"/>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Alt. 1: pseudorandom-based. Use existing sequence of DL-PRS as a starting point.</w:t>
            </w:r>
          </w:p>
        </w:tc>
      </w:tr>
    </w:tbl>
    <w:p w14:paraId="220FDD5F" w14:textId="4060280A" w:rsidR="00DA610C" w:rsidRDefault="00BE1760" w:rsidP="00955E54">
      <w:pPr>
        <w:widowControl w:val="0"/>
        <w:snapToGrid w:val="0"/>
        <w:spacing w:beforeLines="50" w:before="180" w:afterLines="50" w:after="180"/>
        <w:jc w:val="both"/>
        <w:rPr>
          <w:kern w:val="2"/>
          <w:sz w:val="20"/>
          <w:szCs w:val="20"/>
        </w:rPr>
      </w:pPr>
      <w:r>
        <w:rPr>
          <w:kern w:val="2"/>
          <w:sz w:val="20"/>
          <w:szCs w:val="20"/>
        </w:rPr>
        <w:t>The sequence of SL-PRS (</w:t>
      </w:r>
      <w:r w:rsidR="00243BEA" w:rsidRPr="00BA7EA0">
        <w:rPr>
          <w:sz w:val="20"/>
          <w:szCs w:val="20"/>
          <w:lang w:eastAsia="ko-KR"/>
        </w:rPr>
        <w:t>pseudorandom-based</w:t>
      </w:r>
      <w:r>
        <w:rPr>
          <w:kern w:val="2"/>
          <w:sz w:val="20"/>
          <w:szCs w:val="20"/>
        </w:rPr>
        <w:t>)</w:t>
      </w:r>
      <w:r>
        <w:rPr>
          <w:rFonts w:hint="eastAsia"/>
          <w:kern w:val="2"/>
          <w:sz w:val="20"/>
          <w:szCs w:val="20"/>
        </w:rPr>
        <w:t xml:space="preserve"> </w:t>
      </w:r>
      <m:oMath>
        <m:r>
          <w:rPr>
            <w:rFonts w:ascii="Cambria Math" w:hAnsi="Cambria Math"/>
            <w:kern w:val="2"/>
            <w:sz w:val="20"/>
            <w:szCs w:val="20"/>
          </w:rPr>
          <m:t>r</m:t>
        </m:r>
        <m:d>
          <m:dPr>
            <m:ctrlPr>
              <w:rPr>
                <w:rFonts w:ascii="Cambria Math" w:hAnsi="Cambria Math"/>
                <w:i/>
                <w:kern w:val="2"/>
                <w:sz w:val="20"/>
                <w:szCs w:val="20"/>
              </w:rPr>
            </m:ctrlPr>
          </m:dPr>
          <m:e>
            <m:r>
              <w:rPr>
                <w:rFonts w:ascii="Cambria Math" w:hAnsi="Cambria Math"/>
                <w:kern w:val="2"/>
                <w:sz w:val="20"/>
                <w:szCs w:val="20"/>
              </w:rPr>
              <m:t>m</m:t>
            </m:r>
          </m:e>
        </m:d>
      </m:oMath>
      <w:r>
        <w:rPr>
          <w:kern w:val="2"/>
          <w:sz w:val="20"/>
          <w:szCs w:val="20"/>
        </w:rPr>
        <w:t xml:space="preserve"> can be generated according to </w:t>
      </w:r>
      <w:r w:rsidR="00AC28EB">
        <w:rPr>
          <w:kern w:val="2"/>
          <w:sz w:val="20"/>
          <w:szCs w:val="20"/>
        </w:rPr>
        <w:t xml:space="preserve">TS 38.211 </w:t>
      </w:r>
      <w:r>
        <w:rPr>
          <w:kern w:val="2"/>
          <w:sz w:val="20"/>
          <w:szCs w:val="20"/>
        </w:rPr>
        <w:t>[</w:t>
      </w:r>
      <w:r w:rsidR="009B2DF5">
        <w:rPr>
          <w:kern w:val="2"/>
          <w:sz w:val="20"/>
          <w:szCs w:val="20"/>
        </w:rPr>
        <w:t>2</w:t>
      </w:r>
      <w:r>
        <w:rPr>
          <w:kern w:val="2"/>
          <w:sz w:val="20"/>
          <w:szCs w:val="20"/>
        </w:rPr>
        <w:t>]:</w:t>
      </w:r>
    </w:p>
    <w:p w14:paraId="55AC3A56" w14:textId="77777777" w:rsidR="00DA610C" w:rsidRDefault="00BE1760">
      <w:pPr>
        <w:keepLines/>
        <w:tabs>
          <w:tab w:val="center" w:pos="4536"/>
          <w:tab w:val="right" w:pos="9072"/>
        </w:tabs>
        <w:spacing w:after="180"/>
        <w:rPr>
          <w:rFonts w:eastAsia="Times New Roman"/>
          <w:sz w:val="20"/>
          <w:szCs w:val="20"/>
          <w:lang w:val="en-GB" w:eastAsia="en-US"/>
        </w:rPr>
      </w:pPr>
      <m:oMathPara>
        <m:oMath>
          <m:r>
            <w:rPr>
              <w:rFonts w:ascii="Cambria Math" w:eastAsia="Times New Roman" w:hAnsi="Cambria Math"/>
              <w:sz w:val="20"/>
              <w:szCs w:val="20"/>
              <w:lang w:val="en-GB" w:eastAsia="en-US"/>
            </w:rPr>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m</m:t>
              </m:r>
            </m:e>
          </m:d>
          <m:r>
            <m:rPr>
              <m:sty m:val="p"/>
            </m:rPr>
            <w:rPr>
              <w:rFonts w:ascii="Cambria Math" w:eastAsia="Times New Roman" w:hAnsi="Cambria Math"/>
              <w:sz w:val="20"/>
              <w:szCs w:val="20"/>
              <w:lang w:val="en-GB" w:eastAsia="en-US"/>
            </w:rPr>
            <m:t>=</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e>
              </m:d>
            </m:e>
          </m:d>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j</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r>
                    <m:rPr>
                      <m:sty m:val="p"/>
                    </m:rPr>
                    <w:rPr>
                      <w:rFonts w:ascii="Cambria Math" w:eastAsia="Times New Roman" w:hAnsi="Cambria Math"/>
                      <w:sz w:val="20"/>
                      <w:szCs w:val="20"/>
                      <w:lang w:val="en-GB" w:eastAsia="en-US"/>
                    </w:rPr>
                    <m:t>+1</m:t>
                  </m:r>
                </m:e>
              </m:d>
            </m:e>
          </m:d>
        </m:oMath>
      </m:oMathPara>
    </w:p>
    <w:p w14:paraId="4B46D141" w14:textId="0C73C260" w:rsidR="00DA610C" w:rsidRDefault="00177037">
      <w:pPr>
        <w:widowControl w:val="0"/>
        <w:snapToGrid w:val="0"/>
        <w:spacing w:afterLines="50" w:after="180"/>
        <w:rPr>
          <w:kern w:val="2"/>
          <w:sz w:val="20"/>
          <w:szCs w:val="20"/>
        </w:rPr>
      </w:pPr>
      <w:r>
        <w:rPr>
          <w:kern w:val="2"/>
          <w:sz w:val="20"/>
          <w:szCs w:val="20"/>
        </w:rPr>
        <w:t>W</w:t>
      </w:r>
      <w:r w:rsidR="00BE1760">
        <w:rPr>
          <w:kern w:val="2"/>
          <w:sz w:val="20"/>
          <w:szCs w:val="20"/>
        </w:rPr>
        <w:t>here</w:t>
      </w:r>
      <w:r>
        <w:rPr>
          <w:kern w:val="2"/>
          <w:sz w:val="20"/>
          <w:szCs w:val="20"/>
        </w:rPr>
        <w:t xml:space="preserve"> </w:t>
      </w:r>
      <m:oMath>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i</m:t>
            </m:r>
          </m:e>
        </m:d>
      </m:oMath>
      <w:r w:rsidR="00BE1760">
        <w:rPr>
          <w:kern w:val="2"/>
          <w:sz w:val="20"/>
          <w:szCs w:val="20"/>
        </w:rPr>
        <w:t xml:space="preserve"> </w:t>
      </w:r>
      <w:r>
        <w:rPr>
          <w:kern w:val="2"/>
          <w:sz w:val="20"/>
          <w:szCs w:val="20"/>
        </w:rPr>
        <w:t xml:space="preserve">is </w:t>
      </w:r>
      <w:r w:rsidR="0016525B">
        <w:rPr>
          <w:kern w:val="2"/>
          <w:sz w:val="20"/>
          <w:szCs w:val="20"/>
        </w:rPr>
        <w:t>the pse</w:t>
      </w:r>
      <w:r>
        <w:rPr>
          <w:kern w:val="2"/>
          <w:sz w:val="20"/>
          <w:szCs w:val="20"/>
        </w:rPr>
        <w:t>udo-random sequence and its i</w:t>
      </w:r>
      <w:r w:rsidR="00BE1760">
        <w:rPr>
          <w:kern w:val="2"/>
          <w:sz w:val="20"/>
          <w:szCs w:val="20"/>
        </w:rPr>
        <w:t>nitialization function design</w:t>
      </w:r>
      <w:r w:rsidR="0081078F">
        <w:rPr>
          <w:kern w:val="2"/>
          <w:sz w:val="20"/>
          <w:szCs w:val="20"/>
        </w:rPr>
        <w:t xml:space="preserve"> </w:t>
      </w:r>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oMath>
      <w:r w:rsidR="00BE1760">
        <w:rPr>
          <w:kern w:val="2"/>
          <w:sz w:val="20"/>
          <w:szCs w:val="20"/>
        </w:rPr>
        <w:t xml:space="preserve"> is one of the key factors for </w:t>
      </w:r>
      <w:r w:rsidR="008D20B3">
        <w:rPr>
          <w:kern w:val="2"/>
          <w:sz w:val="20"/>
          <w:szCs w:val="20"/>
        </w:rPr>
        <w:t xml:space="preserve">SL-PRS </w:t>
      </w:r>
      <w:r w:rsidR="00BE1760">
        <w:rPr>
          <w:kern w:val="2"/>
          <w:sz w:val="20"/>
          <w:szCs w:val="20"/>
        </w:rPr>
        <w:t>sequence generation. The pseudo-random sequence generator for DL-PRS and sidelink CSI-RS shall be initialized</w:t>
      </w:r>
      <w:r>
        <w:rPr>
          <w:kern w:val="2"/>
          <w:sz w:val="20"/>
          <w:szCs w:val="20"/>
        </w:rPr>
        <w:t xml:space="preserve"> respectively</w:t>
      </w:r>
      <w:r w:rsidR="00BE1760">
        <w:rPr>
          <w:kern w:val="2"/>
          <w:sz w:val="20"/>
          <w:szCs w:val="20"/>
        </w:rPr>
        <w:t xml:space="preserve"> as follows:</w:t>
      </w:r>
    </w:p>
    <w:tbl>
      <w:tblPr>
        <w:tblStyle w:val="23"/>
        <w:tblW w:w="9351" w:type="dxa"/>
        <w:jc w:val="center"/>
        <w:tblLook w:val="04A0" w:firstRow="1" w:lastRow="0" w:firstColumn="1" w:lastColumn="0" w:noHBand="0" w:noVBand="1"/>
      </w:tblPr>
      <w:tblGrid>
        <w:gridCol w:w="9351"/>
      </w:tblGrid>
      <w:tr w:rsidR="00DA610C" w14:paraId="635C9406" w14:textId="77777777" w:rsidTr="004244D8">
        <w:trPr>
          <w:jc w:val="center"/>
        </w:trPr>
        <w:tc>
          <w:tcPr>
            <w:tcW w:w="9351" w:type="dxa"/>
          </w:tcPr>
          <w:p w14:paraId="76D6868C" w14:textId="77777777" w:rsidR="00DA610C" w:rsidRDefault="00BE1760">
            <w:pPr>
              <w:widowControl w:val="0"/>
              <w:snapToGrid w:val="0"/>
              <w:spacing w:afterLines="50" w:after="180" w:line="260" w:lineRule="exact"/>
              <w:jc w:val="both"/>
              <w:rPr>
                <w:rFonts w:eastAsia="Times New Roman"/>
                <w:b/>
                <w:kern w:val="2"/>
                <w:sz w:val="20"/>
                <w:szCs w:val="20"/>
                <w:lang w:val="en-GB" w:eastAsia="en-US"/>
              </w:rPr>
            </w:pPr>
            <w:r>
              <w:rPr>
                <w:rFonts w:eastAsia="Times New Roman"/>
                <w:b/>
                <w:kern w:val="2"/>
                <w:sz w:val="20"/>
                <w:szCs w:val="20"/>
                <w:lang w:val="en-GB" w:eastAsia="en-US"/>
              </w:rPr>
              <w:t xml:space="preserve">DL-PRS </w:t>
            </w:r>
          </w:p>
          <w:p w14:paraId="1EF4A432" w14:textId="77777777" w:rsidR="00DA610C" w:rsidRDefault="00BE1760">
            <w:pPr>
              <w:widowControl w:val="0"/>
              <w:snapToGrid w:val="0"/>
              <w:spacing w:afterLines="50" w:after="180" w:line="260" w:lineRule="exact"/>
              <w:jc w:val="both"/>
              <w:rPr>
                <w:rFonts w:eastAsia="Times New Roman"/>
                <w:kern w:val="2"/>
                <w:sz w:val="20"/>
                <w:szCs w:val="20"/>
                <w:lang w:val="en-GB" w:eastAsia="en-US"/>
              </w:rPr>
            </w:pPr>
            <w:r>
              <w:rPr>
                <w:rFonts w:eastAsia="Times New Roman"/>
                <w:kern w:val="2"/>
                <w:sz w:val="20"/>
                <w:szCs w:val="20"/>
                <w:lang w:val="en-GB" w:eastAsia="en-US"/>
              </w:rPr>
              <w:t xml:space="preserve">where the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Pr>
                <w:rFonts w:eastAsia="Times New Roman"/>
                <w:kern w:val="2"/>
                <w:sz w:val="20"/>
                <w:szCs w:val="20"/>
                <w:lang w:val="en-GB" w:eastAsia="en-US"/>
              </w:rPr>
              <w:t xml:space="preserve"> shall be initialized with</w:t>
            </w:r>
          </w:p>
          <w:p w14:paraId="2A4BC50B" w14:textId="77777777" w:rsidR="00DA610C" w:rsidRDefault="00FC5CED">
            <w:pPr>
              <w:widowControl w:val="0"/>
              <w:snapToGrid w:val="0"/>
              <w:spacing w:afterLines="50" w:after="180"/>
              <w:jc w:val="both"/>
              <w:rPr>
                <w:kern w:val="2"/>
                <w:sz w:val="20"/>
                <w:szCs w:val="20"/>
                <w:lang w:val="en-GB" w:eastAsia="en-US"/>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ID,seq</m:t>
                            </m:r>
                          </m:sub>
                          <m:sup>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37D2F749" w14:textId="77777777" w:rsidR="00DA610C" w:rsidRDefault="00BE1760">
            <w:pPr>
              <w:widowControl w:val="0"/>
              <w:snapToGrid w:val="0"/>
              <w:spacing w:afterLines="50" w:after="180"/>
              <w:jc w:val="both"/>
              <w:rPr>
                <w:sz w:val="20"/>
                <w:szCs w:val="20"/>
              </w:rPr>
            </w:pPr>
            <w:r>
              <w:rPr>
                <w:kern w:val="2"/>
                <w:sz w:val="20"/>
                <w:szCs w:val="20"/>
              </w:rPr>
              <w:t xml:space="preserve">where </w:t>
            </w:r>
            <m:oMath>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oMath>
            <w:r>
              <w:rPr>
                <w:kern w:val="2"/>
                <w:sz w:val="20"/>
                <w:szCs w:val="20"/>
              </w:rPr>
              <w:t xml:space="preserve"> is the slot number, the downlink PRS sequence ID </w:t>
            </w:r>
            <m:oMath>
              <m:sSubSup>
                <m:sSubSupPr>
                  <m:ctrlPr>
                    <w:rPr>
                      <w:rFonts w:ascii="Cambria Math" w:hAnsi="Cambria Math"/>
                      <w:kern w:val="2"/>
                      <w:sz w:val="20"/>
                      <w:szCs w:val="20"/>
                    </w:rPr>
                  </m:ctrlPr>
                </m:sSubSupPr>
                <m:e>
                  <m:r>
                    <w:rPr>
                      <w:rFonts w:ascii="Cambria Math" w:hAnsi="Cambria Math"/>
                      <w:kern w:val="2"/>
                      <w:sz w:val="20"/>
                      <w:szCs w:val="20"/>
                    </w:rPr>
                    <m:t>n</m:t>
                  </m:r>
                </m:e>
                <m:sub>
                  <m:r>
                    <m:rPr>
                      <m:nor/>
                    </m:rPr>
                    <w:rPr>
                      <w:kern w:val="2"/>
                      <w:sz w:val="20"/>
                      <w:szCs w:val="20"/>
                    </w:rPr>
                    <m:t>ID,seq</m:t>
                  </m:r>
                </m:sub>
                <m:sup>
                  <m:r>
                    <m:rPr>
                      <m:nor/>
                    </m:rPr>
                    <w:rPr>
                      <w:kern w:val="2"/>
                      <w:sz w:val="20"/>
                      <w:szCs w:val="20"/>
                    </w:rPr>
                    <m:t>PRS</m:t>
                  </m:r>
                </m:sup>
              </m:sSubSup>
            </m:oMath>
            <w:r>
              <w:rPr>
                <w:rFonts w:hint="eastAsia"/>
                <w:kern w:val="2"/>
                <w:sz w:val="20"/>
                <w:szCs w:val="20"/>
              </w:rPr>
              <w:t xml:space="preserve"> </w:t>
            </w:r>
            <w:r>
              <w:rPr>
                <w:kern w:val="2"/>
                <w:sz w:val="20"/>
                <w:szCs w:val="20"/>
              </w:rPr>
              <w:t xml:space="preserve">is given by the higher-layer parameter </w:t>
            </w:r>
            <w:r>
              <w:rPr>
                <w:i/>
                <w:iCs/>
                <w:kern w:val="2"/>
                <w:sz w:val="20"/>
                <w:szCs w:val="20"/>
              </w:rPr>
              <w:t>dl-PRS-SequenceID</w:t>
            </w:r>
            <w:r>
              <w:rPr>
                <w:kern w:val="2"/>
                <w:sz w:val="20"/>
                <w:szCs w:val="20"/>
              </w:rPr>
              <w:t xml:space="preserve">, and </w:t>
            </w:r>
            <m:oMath>
              <m:r>
                <w:rPr>
                  <w:rFonts w:ascii="Cambria Math" w:eastAsia="Times New Roman" w:hAnsi="Cambria Math"/>
                  <w:kern w:val="2"/>
                  <w:sz w:val="20"/>
                  <w:szCs w:val="20"/>
                  <w:lang w:val="en-GB" w:eastAsia="en-US"/>
                </w:rPr>
                <m:t>l</m:t>
              </m:r>
            </m:oMath>
            <w:r>
              <w:rPr>
                <w:kern w:val="2"/>
                <w:sz w:val="20"/>
                <w:szCs w:val="20"/>
              </w:rPr>
              <w:t xml:space="preserve"> is the OFDM symbol within the slot to which the sequence is mapped.</w:t>
            </w:r>
          </w:p>
          <w:p w14:paraId="33657F84" w14:textId="2FD87AA2" w:rsidR="00DA610C" w:rsidRDefault="007D6C4D">
            <w:pPr>
              <w:widowControl w:val="0"/>
              <w:snapToGrid w:val="0"/>
              <w:spacing w:afterLines="50" w:after="180" w:line="260" w:lineRule="exact"/>
              <w:jc w:val="both"/>
              <w:rPr>
                <w:b/>
                <w:kern w:val="2"/>
                <w:sz w:val="20"/>
                <w:szCs w:val="20"/>
              </w:rPr>
            </w:pPr>
            <w:r>
              <w:rPr>
                <w:b/>
                <w:kern w:val="2"/>
                <w:sz w:val="20"/>
                <w:szCs w:val="20"/>
              </w:rPr>
              <w:t xml:space="preserve">Sidelink </w:t>
            </w:r>
            <w:r w:rsidR="00BE1760">
              <w:rPr>
                <w:b/>
                <w:kern w:val="2"/>
                <w:sz w:val="20"/>
                <w:szCs w:val="20"/>
              </w:rPr>
              <w:t>CSI-RS</w:t>
            </w:r>
          </w:p>
          <w:p w14:paraId="57D9B62E" w14:textId="77777777" w:rsidR="00DA610C" w:rsidRDefault="00BE1760">
            <w:pPr>
              <w:widowControl w:val="0"/>
              <w:snapToGrid w:val="0"/>
              <w:spacing w:afterLines="50" w:after="180"/>
              <w:jc w:val="both"/>
              <w:rPr>
                <w:kern w:val="2"/>
                <w:sz w:val="20"/>
                <w:szCs w:val="20"/>
              </w:rPr>
            </w:pPr>
            <w:r>
              <w:rPr>
                <w:kern w:val="2"/>
                <w:sz w:val="20"/>
                <w:szCs w:val="20"/>
              </w:rPr>
              <w:t xml:space="preserve">where the pseudo-random sequence </w:t>
            </w:r>
            <m:oMath>
              <m:r>
                <w:rPr>
                  <w:rFonts w:ascii="Cambria Math" w:hAnsi="Cambria Math"/>
                  <w:kern w:val="2"/>
                  <w:sz w:val="20"/>
                  <w:szCs w:val="20"/>
                </w:rPr>
                <m:t>c</m:t>
              </m:r>
              <m:d>
                <m:dPr>
                  <m:ctrlPr>
                    <w:rPr>
                      <w:rFonts w:ascii="Cambria Math" w:hAnsi="Cambria Math"/>
                      <w:i/>
                      <w:kern w:val="2"/>
                      <w:sz w:val="20"/>
                      <w:szCs w:val="20"/>
                    </w:rPr>
                  </m:ctrlPr>
                </m:dPr>
                <m:e>
                  <m:r>
                    <w:rPr>
                      <w:rFonts w:ascii="Cambria Math" w:hAnsi="Cambria Math"/>
                      <w:kern w:val="2"/>
                      <w:sz w:val="20"/>
                      <w:szCs w:val="20"/>
                    </w:rPr>
                    <m:t>i</m:t>
                  </m:r>
                </m:e>
              </m:d>
            </m:oMath>
            <w:r>
              <w:rPr>
                <w:kern w:val="2"/>
                <w:sz w:val="20"/>
                <w:szCs w:val="20"/>
              </w:rPr>
              <w:t xml:space="preserve"> is defined in clause 5.2.1. The pseudo-random sequence generator shall be initialised with</w:t>
            </w:r>
          </w:p>
          <w:p w14:paraId="562EEAA3" w14:textId="77777777" w:rsidR="00DA610C" w:rsidRDefault="00FC5CED">
            <w:pPr>
              <w:keepLines/>
              <w:tabs>
                <w:tab w:val="center" w:pos="4536"/>
                <w:tab w:val="right" w:pos="9072"/>
              </w:tabs>
              <w:snapToGrid w:val="0"/>
              <w:spacing w:afterLines="50" w:after="180"/>
              <w:jc w:val="center"/>
              <w:rPr>
                <w:rFonts w:eastAsia="Times New Roman"/>
                <w:sz w:val="20"/>
                <w:szCs w:val="20"/>
                <w:lang w:val="en-GB" w:eastAsia="en-US"/>
              </w:rPr>
            </w:pPr>
            <m:oMathPara>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c</m:t>
                    </m:r>
                  </m:e>
                  <m:sub>
                    <m:r>
                      <m:rPr>
                        <m:nor/>
                      </m:rPr>
                      <w:rPr>
                        <w:rFonts w:eastAsia="Times New Roman"/>
                        <w:sz w:val="20"/>
                        <w:szCs w:val="20"/>
                        <w:lang w:val="en-GB" w:eastAsia="en-US"/>
                      </w:rPr>
                      <m:t>init</m:t>
                    </m:r>
                  </m:sub>
                </m:sSub>
                <m:r>
                  <m:rPr>
                    <m:sty m:val="p"/>
                  </m:rPr>
                  <w:rPr>
                    <w:rFonts w:ascii="Cambria Math" w:eastAsia="Times New Roman" w:hAnsi="Cambria Math"/>
                    <w:sz w:val="20"/>
                    <w:szCs w:val="20"/>
                    <w:lang w:val="en-GB" w:eastAsia="en-US"/>
                  </w:rPr>
                  <m:t>=</m:t>
                </m:r>
                <m:d>
                  <m:dPr>
                    <m:ctrlPr>
                      <w:rPr>
                        <w:rFonts w:ascii="Cambria Math" w:eastAsia="Times New Roman" w:hAnsi="Cambria Math"/>
                        <w:sz w:val="20"/>
                        <w:szCs w:val="20"/>
                        <w:lang w:val="en-GB" w:eastAsia="en-US"/>
                      </w:rPr>
                    </m:ctrlPr>
                  </m:dPr>
                  <m:e>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10</m:t>
                        </m:r>
                      </m:sup>
                    </m:sSup>
                    <m:d>
                      <m:dPr>
                        <m:ctrlPr>
                          <w:rPr>
                            <w:rFonts w:ascii="Cambria Math" w:eastAsia="Times New Roman" w:hAnsi="Cambria Math"/>
                            <w:sz w:val="20"/>
                            <w:szCs w:val="20"/>
                            <w:lang w:val="en-GB" w:eastAsia="en-US"/>
                          </w:rPr>
                        </m:ctrlPr>
                      </m:dPr>
                      <m:e>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s,f</m:t>
                            </m:r>
                          </m:sub>
                          <m:sup>
                            <m:r>
                              <w:rPr>
                                <w:rFonts w:ascii="Cambria Math" w:eastAsia="Times New Roman" w:hAnsi="Cambria Math"/>
                                <w:sz w:val="20"/>
                                <w:szCs w:val="20"/>
                                <w:lang w:val="en-GB" w:eastAsia="en-US"/>
                              </w:rPr>
                              <m:t>μ</m:t>
                            </m:r>
                          </m:sup>
                        </m:sSubSup>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l</m:t>
                        </m:r>
                        <m:r>
                          <m:rPr>
                            <m:sty m:val="p"/>
                          </m:rPr>
                          <w:rPr>
                            <w:rFonts w:ascii="Cambria Math" w:eastAsia="Times New Roman" w:hAnsi="Cambria Math"/>
                            <w:sz w:val="20"/>
                            <w:szCs w:val="20"/>
                            <w:lang w:val="en-GB" w:eastAsia="en-US"/>
                          </w:rPr>
                          <m:t>+1</m:t>
                        </m:r>
                      </m:e>
                    </m:d>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Sub>
                        <m:r>
                          <m:rPr>
                            <m:sty m:val="p"/>
                          </m:rPr>
                          <w:rPr>
                            <w:rFonts w:ascii="Cambria Math" w:eastAsia="Times New Roman" w:hAnsi="Cambria Math"/>
                            <w:sz w:val="20"/>
                            <w:szCs w:val="20"/>
                            <w:lang w:val="en-GB" w:eastAsia="en-US"/>
                          </w:rPr>
                          <m:t>+1</m:t>
                        </m:r>
                      </m:e>
                    </m:d>
                    <m:r>
                      <m:rPr>
                        <m:sty m:val="p"/>
                      </m:rPr>
                      <w:rPr>
                        <w:rFonts w:ascii="Cambria Math" w:eastAsia="Times New Roman" w:hAnsi="Cambria Math"/>
                        <w:sz w:val="20"/>
                        <w:szCs w:val="20"/>
                        <w:lang w:val="en-GB" w:eastAsia="en-US"/>
                      </w:rPr>
                      <m:t>+</m:t>
                    </m:r>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n</m:t>
                        </m:r>
                      </m:e>
                      <m:sub>
                        <m:r>
                          <m:rPr>
                            <m:nor/>
                          </m:rPr>
                          <w:rPr>
                            <w:rFonts w:eastAsia="Times New Roman"/>
                            <w:sz w:val="20"/>
                            <w:szCs w:val="20"/>
                            <w:lang w:val="en-GB" w:eastAsia="en-US"/>
                          </w:rPr>
                          <m:t>ID</m:t>
                        </m:r>
                      </m:sub>
                    </m:sSub>
                  </m:e>
                </m:d>
                <m:r>
                  <m:rPr>
                    <m:nor/>
                  </m:rPr>
                  <w:rPr>
                    <w:rFonts w:ascii="Cambria Math" w:eastAsia="Times New Roman"/>
                    <w:sz w:val="20"/>
                    <w:szCs w:val="20"/>
                    <w:lang w:val="en-GB" w:eastAsia="en-US"/>
                  </w:rPr>
                  <m:t xml:space="preserve"> </m:t>
                </m:r>
                <m:r>
                  <m:rPr>
                    <m:nor/>
                  </m:rPr>
                  <w:rPr>
                    <w:rFonts w:eastAsia="Times New Roman"/>
                    <w:sz w:val="20"/>
                    <w:szCs w:val="20"/>
                    <w:lang w:val="en-GB" w:eastAsia="en-US"/>
                  </w:rPr>
                  <m:t>mod</m:t>
                </m:r>
                <m:r>
                  <m:rPr>
                    <m:nor/>
                  </m:rPr>
                  <w:rPr>
                    <w:rFonts w:ascii="Cambria Math" w:eastAsia="Times New Roman"/>
                    <w:sz w:val="20"/>
                    <w:szCs w:val="20"/>
                    <w:lang w:val="en-GB" w:eastAsia="en-US"/>
                  </w:rPr>
                  <m:t xml:space="preserve"> </m:t>
                </m:r>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31</m:t>
                    </m:r>
                  </m:sup>
                </m:sSup>
              </m:oMath>
            </m:oMathPara>
          </w:p>
          <w:p w14:paraId="60EC4694" w14:textId="77777777" w:rsidR="00DA610C" w:rsidRDefault="00BE1760">
            <w:pPr>
              <w:widowControl w:val="0"/>
              <w:snapToGrid w:val="0"/>
              <w:spacing w:afterLines="50" w:after="180"/>
              <w:jc w:val="both"/>
              <w:rPr>
                <w:kern w:val="2"/>
                <w:sz w:val="20"/>
                <w:szCs w:val="20"/>
              </w:rPr>
            </w:pPr>
            <w:r>
              <w:rPr>
                <w:kern w:val="2"/>
                <w:sz w:val="20"/>
                <w:szCs w:val="20"/>
              </w:rPr>
              <w:t xml:space="preserve">at the start of each OFDM symbol where </w:t>
            </w:r>
            <m:oMath>
              <m:sSubSup>
                <m:sSubSupPr>
                  <m:ctrlPr>
                    <w:rPr>
                      <w:rFonts w:ascii="Cambria Math" w:hAnsi="Cambria Math"/>
                      <w:i/>
                      <w:kern w:val="2"/>
                      <w:sz w:val="20"/>
                      <w:szCs w:val="20"/>
                    </w:rPr>
                  </m:ctrlPr>
                </m:sSubSupPr>
                <m:e>
                  <m:r>
                    <w:rPr>
                      <w:rFonts w:ascii="Cambria Math" w:hAnsi="Cambria Math"/>
                      <w:kern w:val="2"/>
                      <w:sz w:val="20"/>
                      <w:szCs w:val="20"/>
                    </w:rPr>
                    <m:t>n</m:t>
                  </m:r>
                </m:e>
                <m:sub>
                  <m:r>
                    <m:rPr>
                      <m:nor/>
                    </m:rPr>
                    <w:rPr>
                      <w:rFonts w:ascii="Cambria Math" w:hAnsi="Cambria Math"/>
                      <w:kern w:val="2"/>
                      <w:sz w:val="20"/>
                      <w:szCs w:val="20"/>
                    </w:rPr>
                    <m:t>s,f</m:t>
                  </m:r>
                </m:sub>
                <m:sup>
                  <m:r>
                    <w:rPr>
                      <w:rFonts w:ascii="Cambria Math" w:hAnsi="Cambria Math"/>
                      <w:kern w:val="2"/>
                      <w:sz w:val="20"/>
                      <w:szCs w:val="20"/>
                    </w:rPr>
                    <m:t>μ</m:t>
                  </m:r>
                </m:sup>
              </m:sSubSup>
            </m:oMath>
            <w:r>
              <w:rPr>
                <w:kern w:val="2"/>
                <w:sz w:val="20"/>
                <w:szCs w:val="20"/>
              </w:rPr>
              <w:t xml:space="preserve"> is the slot number within a radio frame, </w:t>
            </w:r>
            <m:oMath>
              <m:r>
                <w:rPr>
                  <w:rFonts w:ascii="Cambria Math" w:hAnsi="Cambria Math"/>
                  <w:kern w:val="2"/>
                  <w:sz w:val="20"/>
                  <w:szCs w:val="20"/>
                </w:rPr>
                <m:t>l</m:t>
              </m:r>
            </m:oMath>
            <w:r>
              <w:rPr>
                <w:kern w:val="2"/>
                <w:sz w:val="20"/>
                <w:szCs w:val="20"/>
              </w:rPr>
              <w:t xml:space="preserve"> is the OFDM symbol number within a slot, and </w:t>
            </w:r>
            <m:oMath>
              <m:sSub>
                <m:sSubPr>
                  <m:ctrlPr>
                    <w:rPr>
                      <w:rFonts w:ascii="Cambria Math" w:hAnsi="Cambria Math"/>
                      <w:i/>
                      <w:kern w:val="2"/>
                      <w:sz w:val="20"/>
                      <w:szCs w:val="20"/>
                    </w:rPr>
                  </m:ctrlPr>
                </m:sSubPr>
                <m:e>
                  <m:r>
                    <w:rPr>
                      <w:rFonts w:ascii="Cambria Math" w:hAnsi="Cambria Math"/>
                      <w:kern w:val="2"/>
                      <w:sz w:val="20"/>
                      <w:szCs w:val="20"/>
                    </w:rPr>
                    <m:t>n</m:t>
                  </m:r>
                </m:e>
                <m:sub>
                  <m:r>
                    <m:rPr>
                      <m:nor/>
                    </m:rPr>
                    <w:rPr>
                      <w:rFonts w:ascii="Cambria Math" w:hAnsi="Cambria Math"/>
                      <w:kern w:val="2"/>
                      <w:sz w:val="20"/>
                      <w:szCs w:val="20"/>
                    </w:rPr>
                    <m:t>ID</m:t>
                  </m:r>
                </m:sub>
              </m:sSub>
              <m:r>
                <m:rPr>
                  <m:sty m:val="p"/>
                </m:rPr>
                <w:rPr>
                  <w:rFonts w:ascii="Cambria Math" w:hAnsi="Cambria Math"/>
                  <w:kern w:val="2"/>
                  <w:sz w:val="20"/>
                  <w:szCs w:val="20"/>
                </w:rPr>
                <m:t>=</m:t>
              </m:r>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r>
                <m:rPr>
                  <m:sty m:val="p"/>
                </m:rPr>
                <w:rPr>
                  <w:rFonts w:ascii="Cambria Math" w:hAnsi="Cambria Math"/>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10</m:t>
                  </m:r>
                </m:sup>
              </m:sSup>
            </m:oMath>
            <w:r>
              <w:rPr>
                <w:kern w:val="2"/>
                <w:sz w:val="20"/>
                <w:szCs w:val="20"/>
              </w:rPr>
              <w:t xml:space="preserve"> where the quantity </w:t>
            </w:r>
            <m:oMath>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oMath>
            <w:r>
              <w:rPr>
                <w:kern w:val="2"/>
                <w:sz w:val="20"/>
                <w:szCs w:val="20"/>
              </w:rPr>
              <w:t xml:space="preserve"> equals the decimal representation of CRC for the sidelink control information mapped to the PSCCH associated with the CSI-RS according to </w:t>
            </w:r>
            <m:oMath>
              <m:sSubSup>
                <m:sSubSupPr>
                  <m:ctrlPr>
                    <w:rPr>
                      <w:rFonts w:ascii="Cambria Math" w:hAnsi="Cambria Math"/>
                      <w:kern w:val="2"/>
                      <w:sz w:val="20"/>
                      <w:szCs w:val="20"/>
                    </w:rPr>
                  </m:ctrlPr>
                </m:sSubSupPr>
                <m:e>
                  <m:r>
                    <w:rPr>
                      <w:rFonts w:ascii="Cambria Math" w:hAnsi="Cambria Math"/>
                      <w:kern w:val="2"/>
                      <w:sz w:val="20"/>
                      <w:szCs w:val="20"/>
                    </w:rPr>
                    <m:t>N</m:t>
                  </m:r>
                </m:e>
                <m:sub>
                  <m:r>
                    <m:rPr>
                      <m:sty m:val="p"/>
                    </m:rPr>
                    <w:rPr>
                      <w:rFonts w:ascii="Cambria Math" w:hAnsi="Cambria Math"/>
                      <w:kern w:val="2"/>
                      <w:sz w:val="20"/>
                      <w:szCs w:val="20"/>
                    </w:rPr>
                    <m:t>ID</m:t>
                  </m:r>
                </m:sub>
                <m:sup>
                  <m:r>
                    <m:rPr>
                      <m:sty m:val="p"/>
                    </m:rPr>
                    <w:rPr>
                      <w:rFonts w:ascii="Cambria Math" w:hAnsi="Cambria Math"/>
                      <w:kern w:val="2"/>
                      <w:sz w:val="20"/>
                      <w:szCs w:val="20"/>
                    </w:rPr>
                    <m:t>X</m:t>
                  </m:r>
                </m:sup>
              </m:sSubSup>
              <m:r>
                <m:rPr>
                  <m:sty m:val="p"/>
                </m:rPr>
                <w:rPr>
                  <w:rFonts w:ascii="Cambria Math" w:hAnsi="Cambria Math"/>
                  <w:kern w:val="2"/>
                  <w:sz w:val="20"/>
                  <w:szCs w:val="20"/>
                </w:rPr>
                <m:t>=</m:t>
              </m:r>
              <m:nary>
                <m:naryPr>
                  <m:chr m:val="∑"/>
                  <m:limLoc m:val="subSup"/>
                  <m:ctrlPr>
                    <w:rPr>
                      <w:rFonts w:ascii="Cambria Math" w:hAnsi="Cambria Math"/>
                      <w:kern w:val="2"/>
                      <w:sz w:val="20"/>
                      <w:szCs w:val="20"/>
                    </w:rPr>
                  </m:ctrlPr>
                </m:naryPr>
                <m:sub>
                  <m:r>
                    <w:rPr>
                      <w:rFonts w:ascii="Cambria Math" w:hAnsi="Cambria Math"/>
                      <w:kern w:val="2"/>
                      <w:sz w:val="20"/>
                      <w:szCs w:val="20"/>
                    </w:rPr>
                    <m:t>i</m:t>
                  </m:r>
                  <m:r>
                    <m:rPr>
                      <m:sty m:val="p"/>
                    </m:rPr>
                    <w:rPr>
                      <w:rFonts w:ascii="Cambria Math" w:hAnsi="Cambria Math"/>
                      <w:kern w:val="2"/>
                      <w:sz w:val="20"/>
                      <w:szCs w:val="20"/>
                    </w:rPr>
                    <m:t>=0</m:t>
                  </m:r>
                </m:sub>
                <m:sup>
                  <m:r>
                    <w:rPr>
                      <w:rFonts w:ascii="Cambria Math" w:hAnsi="Cambria Math"/>
                      <w:kern w:val="2"/>
                      <w:sz w:val="20"/>
                      <w:szCs w:val="20"/>
                    </w:rPr>
                    <m:t>L</m:t>
                  </m:r>
                  <m:r>
                    <m:rPr>
                      <m:sty m:val="p"/>
                    </m:rPr>
                    <w:rPr>
                      <w:rFonts w:ascii="Cambria Math" w:hAnsi="Cambria Math"/>
                      <w:kern w:val="2"/>
                      <w:sz w:val="20"/>
                      <w:szCs w:val="20"/>
                    </w:rPr>
                    <m:t>-1</m:t>
                  </m:r>
                </m:sup>
                <m:e>
                  <m:sSub>
                    <m:sSubPr>
                      <m:ctrlPr>
                        <w:rPr>
                          <w:rFonts w:ascii="Cambria Math" w:hAnsi="Cambria Math"/>
                          <w:kern w:val="2"/>
                          <w:sz w:val="20"/>
                          <w:szCs w:val="20"/>
                        </w:rPr>
                      </m:ctrlPr>
                    </m:sSubPr>
                    <m:e>
                      <m:r>
                        <w:rPr>
                          <w:rFonts w:ascii="Cambria Math" w:hAnsi="Cambria Math"/>
                          <w:kern w:val="2"/>
                          <w:sz w:val="20"/>
                          <w:szCs w:val="20"/>
                        </w:rPr>
                        <m:t>p</m:t>
                      </m:r>
                    </m:e>
                    <m:sub>
                      <m:r>
                        <w:rPr>
                          <w:rFonts w:ascii="Cambria Math" w:hAnsi="Cambria Math"/>
                          <w:kern w:val="2"/>
                          <w:sz w:val="20"/>
                          <w:szCs w:val="20"/>
                        </w:rPr>
                        <m:t>i</m:t>
                      </m:r>
                    </m:sub>
                  </m:sSub>
                </m:e>
              </m:nary>
              <m:r>
                <m:rPr>
                  <m:sty m:val="p"/>
                </m:rPr>
                <w:rPr>
                  <w:rFonts w:ascii="Cambria Math" w:hAnsi="Cambria Math"/>
                  <w:kern w:val="2"/>
                  <w:sz w:val="20"/>
                  <w:szCs w:val="20"/>
                </w:rPr>
                <m:t>∙</m:t>
              </m:r>
              <m:sSup>
                <m:sSupPr>
                  <m:ctrlPr>
                    <w:rPr>
                      <w:rFonts w:ascii="Cambria Math" w:hAnsi="Cambria Math"/>
                      <w:kern w:val="2"/>
                      <w:sz w:val="20"/>
                      <w:szCs w:val="20"/>
                    </w:rPr>
                  </m:ctrlPr>
                </m:sSupPr>
                <m:e>
                  <m:r>
                    <m:rPr>
                      <m:sty m:val="p"/>
                    </m:rPr>
                    <w:rPr>
                      <w:rFonts w:ascii="Cambria Math" w:hAnsi="Cambria Math"/>
                      <w:kern w:val="2"/>
                      <w:sz w:val="20"/>
                      <w:szCs w:val="20"/>
                    </w:rPr>
                    <m:t>2</m:t>
                  </m:r>
                </m:e>
                <m:sup>
                  <m:r>
                    <w:rPr>
                      <w:rFonts w:ascii="Cambria Math" w:hAnsi="Cambria Math"/>
                      <w:kern w:val="2"/>
                      <w:sz w:val="20"/>
                      <w:szCs w:val="20"/>
                    </w:rPr>
                    <m:t>L</m:t>
                  </m:r>
                  <m:r>
                    <m:rPr>
                      <m:sty m:val="p"/>
                    </m:rPr>
                    <w:rPr>
                      <w:rFonts w:ascii="Cambria Math" w:hAnsi="Cambria Math"/>
                      <w:kern w:val="2"/>
                      <w:sz w:val="20"/>
                      <w:szCs w:val="20"/>
                    </w:rPr>
                    <m:t>-1-</m:t>
                  </m:r>
                  <m:r>
                    <w:rPr>
                      <w:rFonts w:ascii="Cambria Math" w:hAnsi="Cambria Math"/>
                      <w:kern w:val="2"/>
                      <w:sz w:val="20"/>
                      <w:szCs w:val="20"/>
                    </w:rPr>
                    <m:t>i</m:t>
                  </m:r>
                </m:sup>
              </m:sSup>
            </m:oMath>
            <w:r>
              <w:rPr>
                <w:kern w:val="2"/>
                <w:sz w:val="20"/>
                <w:szCs w:val="20"/>
              </w:rPr>
              <w:t xml:space="preserve"> with </w:t>
            </w:r>
            <m:oMath>
              <m:r>
                <w:rPr>
                  <w:rFonts w:ascii="Cambria Math" w:hAnsi="Cambria Math"/>
                  <w:kern w:val="2"/>
                  <w:sz w:val="20"/>
                  <w:szCs w:val="20"/>
                </w:rPr>
                <m:t>p</m:t>
              </m:r>
            </m:oMath>
            <w:r>
              <w:rPr>
                <w:kern w:val="2"/>
                <w:sz w:val="20"/>
                <w:szCs w:val="20"/>
              </w:rPr>
              <w:t xml:space="preserve"> and </w:t>
            </w:r>
            <m:oMath>
              <m:r>
                <w:rPr>
                  <w:rFonts w:ascii="Cambria Math" w:hAnsi="Cambria Math"/>
                  <w:kern w:val="2"/>
                  <w:sz w:val="20"/>
                  <w:szCs w:val="20"/>
                </w:rPr>
                <m:t>L</m:t>
              </m:r>
            </m:oMath>
            <w:r>
              <w:rPr>
                <w:kern w:val="2"/>
                <w:sz w:val="20"/>
                <w:szCs w:val="20"/>
              </w:rPr>
              <w:t xml:space="preserve"> given by clause 7.3.2 in [4, TS 38.212].</w:t>
            </w:r>
          </w:p>
        </w:tc>
      </w:tr>
    </w:tbl>
    <w:p w14:paraId="71A79879" w14:textId="00B13F0B" w:rsidR="00DA610C" w:rsidRDefault="00BE1760">
      <w:pPr>
        <w:widowControl w:val="0"/>
        <w:snapToGrid w:val="0"/>
        <w:spacing w:beforeLines="50" w:before="180" w:afterLines="50" w:after="180"/>
        <w:jc w:val="both"/>
        <w:rPr>
          <w:kern w:val="2"/>
          <w:sz w:val="20"/>
          <w:szCs w:val="20"/>
        </w:rPr>
      </w:pPr>
      <w:r>
        <w:rPr>
          <w:rFonts w:hint="eastAsia"/>
          <w:kern w:val="2"/>
          <w:sz w:val="20"/>
          <w:szCs w:val="20"/>
        </w:rPr>
        <w:lastRenderedPageBreak/>
        <w:t>T</w:t>
      </w:r>
      <w:r>
        <w:rPr>
          <w:kern w:val="2"/>
          <w:sz w:val="20"/>
          <w:szCs w:val="20"/>
        </w:rPr>
        <w:t xml:space="preserve">he basic pseudo-random sequence initialization functions for DL-PRS and sidelink CSI-RS are similar and can be applied </w:t>
      </w:r>
      <w:r w:rsidR="007D6C4D">
        <w:rPr>
          <w:kern w:val="2"/>
          <w:sz w:val="20"/>
          <w:szCs w:val="20"/>
        </w:rPr>
        <w:t>and</w:t>
      </w:r>
      <w:r w:rsidR="00F925B4">
        <w:rPr>
          <w:kern w:val="2"/>
          <w:sz w:val="20"/>
          <w:szCs w:val="20"/>
        </w:rPr>
        <w:t xml:space="preserve"> </w:t>
      </w:r>
      <w:r>
        <w:rPr>
          <w:kern w:val="2"/>
          <w:sz w:val="20"/>
          <w:szCs w:val="20"/>
        </w:rPr>
        <w:t>extended for SL-PRS. There are two main differences between the equation of initialization for sidelink CSI-RS and that for DL-PRS:</w:t>
      </w:r>
    </w:p>
    <w:p w14:paraId="4591422F" w14:textId="7069DF28" w:rsidR="00DA610C" w:rsidRDefault="00BE1760">
      <w:pPr>
        <w:pStyle w:val="aff2"/>
        <w:widowControl w:val="0"/>
        <w:numPr>
          <w:ilvl w:val="1"/>
          <w:numId w:val="10"/>
        </w:numPr>
        <w:snapToGrid w:val="0"/>
        <w:spacing w:beforeLines="50" w:before="180" w:afterLines="50"/>
        <w:jc w:val="both"/>
        <w:rPr>
          <w:kern w:val="2"/>
          <w:sz w:val="20"/>
        </w:rPr>
      </w:pPr>
      <w:r>
        <w:rPr>
          <w:kern w:val="2"/>
          <w:sz w:val="20"/>
        </w:rPr>
        <w:t xml:space="preserve">Sequence ID: the downlink PRS sequence ID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rFonts w:hint="eastAsia"/>
          <w:kern w:val="2"/>
          <w:sz w:val="20"/>
        </w:rPr>
        <w:t xml:space="preserve"> </w:t>
      </w:r>
      <w:r>
        <w:rPr>
          <w:kern w:val="2"/>
          <w:sz w:val="20"/>
        </w:rPr>
        <w:t xml:space="preserve">is given by the higher-layer parameter </w:t>
      </w:r>
      <w:r>
        <w:rPr>
          <w:i/>
          <w:iCs/>
          <w:kern w:val="2"/>
          <w:sz w:val="20"/>
        </w:rPr>
        <w:t>dl-PRS-SequenceID</w:t>
      </w:r>
      <w:r>
        <w:rPr>
          <w:iCs/>
          <w:kern w:val="2"/>
          <w:sz w:val="20"/>
        </w:rPr>
        <w:t>, which might related to</w:t>
      </w:r>
      <w:r w:rsidR="00216109">
        <w:rPr>
          <w:iCs/>
          <w:kern w:val="2"/>
          <w:sz w:val="20"/>
        </w:rPr>
        <w:t xml:space="preserve"> the </w:t>
      </w:r>
      <w:r w:rsidR="00095775">
        <w:rPr>
          <w:iCs/>
          <w:kern w:val="2"/>
          <w:sz w:val="20"/>
        </w:rPr>
        <w:t>DL-PRS resource’s</w:t>
      </w:r>
      <w:r>
        <w:rPr>
          <w:iCs/>
          <w:kern w:val="2"/>
          <w:sz w:val="20"/>
        </w:rPr>
        <w:t xml:space="preserve"> TRP </w:t>
      </w:r>
      <w:r w:rsidR="00095775">
        <w:rPr>
          <w:iCs/>
          <w:kern w:val="2"/>
          <w:sz w:val="20"/>
        </w:rPr>
        <w:t>information</w:t>
      </w:r>
      <w:r>
        <w:rPr>
          <w:iCs/>
          <w:kern w:val="2"/>
          <w:sz w:val="20"/>
        </w:rPr>
        <w:t xml:space="preserve">; </w:t>
      </w:r>
      <w:r>
        <w:rPr>
          <w:kern w:val="2"/>
          <w:sz w:val="20"/>
        </w:rPr>
        <w:t>the SL CSI-RS sequence ID is related to the decimal representation of CRC for the sidelink control information</w:t>
      </w:r>
    </w:p>
    <w:p w14:paraId="70A4D206" w14:textId="5A532379" w:rsidR="00DA610C" w:rsidRDefault="00BE1760">
      <w:pPr>
        <w:pStyle w:val="aff2"/>
        <w:widowControl w:val="0"/>
        <w:numPr>
          <w:ilvl w:val="1"/>
          <w:numId w:val="10"/>
        </w:numPr>
        <w:snapToGrid w:val="0"/>
        <w:spacing w:beforeLines="50" w:before="180" w:afterLines="50"/>
        <w:jc w:val="both"/>
        <w:rPr>
          <w:kern w:val="2"/>
          <w:sz w:val="20"/>
        </w:rPr>
      </w:pPr>
      <w:r>
        <w:rPr>
          <w:rFonts w:hint="eastAsia"/>
          <w:kern w:val="2"/>
          <w:sz w:val="20"/>
          <w:lang w:eastAsia="zh-CN"/>
        </w:rPr>
        <w:t>O</w:t>
      </w:r>
      <w:r>
        <w:rPr>
          <w:kern w:val="2"/>
          <w:sz w:val="20"/>
          <w:lang w:eastAsia="zh-CN"/>
        </w:rPr>
        <w:t>ffset: Compared to</w:t>
      </w:r>
      <w:r>
        <w:rPr>
          <w:kern w:val="2"/>
          <w:sz w:val="20"/>
        </w:rPr>
        <w:t xml:space="preserve"> SL CSI-RS, the equation of initialization for DL-PRS introduces an offset </w:t>
      </w:r>
      <m:oMath>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ID,seq</m:t>
                    </m:r>
                  </m:sub>
                  <m:sup>
                    <m:r>
                      <m:rPr>
                        <m:nor/>
                      </m:rPr>
                      <w:rPr>
                        <w:rFonts w:eastAsia="Times New Roman"/>
                        <w:kern w:val="2"/>
                        <w:sz w:val="20"/>
                        <w:lang w:val="en-GB" w:eastAsia="en-US"/>
                      </w:rPr>
                      <m:t>PRS</m:t>
                    </m:r>
                  </m:sup>
                </m:sSubSup>
              </m:num>
              <m:den>
                <m:r>
                  <m:rPr>
                    <m:sty m:val="p"/>
                  </m:rPr>
                  <w:rPr>
                    <w:rFonts w:ascii="Cambria Math" w:eastAsia="Times New Roman" w:hAnsi="Cambria Math"/>
                    <w:kern w:val="2"/>
                    <w:sz w:val="20"/>
                    <w:lang w:val="en-GB" w:eastAsia="en-US"/>
                  </w:rPr>
                  <m:t>1024</m:t>
                </m:r>
              </m:den>
            </m:f>
          </m:e>
        </m:d>
      </m:oMath>
      <w:r>
        <w:rPr>
          <w:kern w:val="2"/>
          <w:sz w:val="20"/>
          <w:lang w:val="en-GB" w:eastAsia="en-US"/>
        </w:rPr>
        <w:t xml:space="preserve"> in high bits. By introducing this offset, 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function of DL-PRS is the same as</w:t>
      </w:r>
      <w:r w:rsidR="001573F1">
        <w:rPr>
          <w:sz w:val="20"/>
          <w:lang w:val="en-GB" w:eastAsia="zh-CN"/>
        </w:rPr>
        <w:t xml:space="preserve"> </w:t>
      </w:r>
      <w:r w:rsidR="001573F1">
        <w:rPr>
          <w:kern w:val="2"/>
          <w:sz w:val="20"/>
          <w:lang w:val="en-GB" w:eastAsia="en-US"/>
        </w:rPr>
        <w:t>that</w:t>
      </w:r>
      <w:r>
        <w:rPr>
          <w:sz w:val="20"/>
          <w:lang w:val="en-GB" w:eastAsia="zh-CN"/>
        </w:rPr>
        <w:t xml:space="preserve"> of</w:t>
      </w:r>
      <w:r w:rsidR="005C7F6A">
        <w:rPr>
          <w:sz w:val="20"/>
          <w:lang w:val="en-GB" w:eastAsia="zh-CN"/>
        </w:rPr>
        <w:t xml:space="preserve"> DL</w:t>
      </w:r>
      <w:r>
        <w:rPr>
          <w:sz w:val="20"/>
          <w:lang w:val="en-GB" w:eastAsia="zh-CN"/>
        </w:rPr>
        <w:t xml:space="preserve"> CSI-RS when</w:t>
      </w:r>
      <w:r w:rsidR="007D6C4D">
        <w:rPr>
          <w:sz w:val="20"/>
          <w:lang w:val="en-GB" w:eastAsia="zh-CN"/>
        </w:rPr>
        <w:t xml:space="preserve"> the value range of</w:t>
      </w:r>
      <w:r>
        <w:rPr>
          <w:sz w:val="20"/>
          <w:lang w:val="en-GB" w:eastAsia="zh-CN"/>
        </w:rPr>
        <w:t xml:space="preserve"> DL-PRS sequence ID is 0~1024; On the contrary, since the value range of</w:t>
      </w:r>
      <w:r>
        <w:rPr>
          <w:kern w:val="2"/>
          <w:sz w:val="20"/>
        </w:rPr>
        <w:t xml:space="preserve">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sz w:val="20"/>
          <w:lang w:val="en-GB" w:eastAsia="zh-CN"/>
        </w:rPr>
        <w:t xml:space="preserve"> is 0~4095, introducing high-bit offset can meet the requirement of different </w:t>
      </w:r>
      <m:oMath>
        <m:sSubSup>
          <m:sSubSupPr>
            <m:ctrlPr>
              <w:rPr>
                <w:rFonts w:ascii="Cambria Math" w:hAnsi="Cambria Math"/>
                <w:kern w:val="2"/>
                <w:sz w:val="20"/>
              </w:rPr>
            </m:ctrlPr>
          </m:sSubSupPr>
          <m:e>
            <m:r>
              <w:rPr>
                <w:rFonts w:ascii="Cambria Math" w:hAnsi="Cambria Math"/>
                <w:kern w:val="2"/>
                <w:sz w:val="20"/>
              </w:rPr>
              <m:t>n</m:t>
            </m:r>
          </m:e>
          <m:sub>
            <m:r>
              <m:rPr>
                <m:nor/>
              </m:rPr>
              <w:rPr>
                <w:kern w:val="2"/>
                <w:sz w:val="20"/>
              </w:rPr>
              <m:t>ID,seq</m:t>
            </m:r>
          </m:sub>
          <m:sup>
            <m:r>
              <m:rPr>
                <m:nor/>
              </m:rPr>
              <w:rPr>
                <w:kern w:val="2"/>
                <w:sz w:val="20"/>
              </w:rPr>
              <m:t>PRS</m:t>
            </m:r>
          </m:sup>
        </m:sSubSup>
      </m:oMath>
      <w:r>
        <w:rPr>
          <w:rFonts w:hint="eastAsia"/>
          <w:kern w:val="2"/>
          <w:sz w:val="20"/>
          <w:lang w:eastAsia="zh-CN"/>
        </w:rPr>
        <w:t xml:space="preserve"> </w:t>
      </w:r>
      <w:r>
        <w:rPr>
          <w:kern w:val="2"/>
          <w:sz w:val="20"/>
          <w:lang w:eastAsia="zh-CN"/>
        </w:rPr>
        <w:t xml:space="preserve">corresponding to different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eastAsia="zh-CN"/>
        </w:rPr>
        <w:t xml:space="preserve"> </w:t>
      </w:r>
      <w:r>
        <w:rPr>
          <w:sz w:val="20"/>
          <w:lang w:val="en-GB" w:eastAsia="zh-CN"/>
        </w:rPr>
        <w:t>functions.</w:t>
      </w:r>
    </w:p>
    <w:p w14:paraId="7E1A1EEC" w14:textId="0E3427E9" w:rsidR="00DA610C" w:rsidRDefault="006A67CD">
      <w:pPr>
        <w:widowControl w:val="0"/>
        <w:snapToGrid w:val="0"/>
        <w:spacing w:afterLines="50" w:after="180"/>
        <w:jc w:val="both"/>
        <w:rPr>
          <w:kern w:val="2"/>
          <w:sz w:val="20"/>
          <w:szCs w:val="20"/>
        </w:rPr>
      </w:pPr>
      <w:r>
        <w:rPr>
          <w:rFonts w:eastAsia="Times New Roman"/>
          <w:kern w:val="2"/>
          <w:sz w:val="20"/>
          <w:szCs w:val="20"/>
          <w:lang w:eastAsia="en-US"/>
        </w:rPr>
        <w:t xml:space="preserve">Similarly, </w:t>
      </w:r>
      <w:r w:rsidR="00BE1760">
        <w:rPr>
          <w:rFonts w:eastAsia="Times New Roman"/>
          <w:kern w:val="2"/>
          <w:sz w:val="20"/>
          <w:szCs w:val="20"/>
          <w:lang w:eastAsia="en-US"/>
        </w:rPr>
        <w:t>t</w:t>
      </w:r>
      <w:r w:rsidR="00BE1760">
        <w:rPr>
          <w:rFonts w:eastAsia="Times New Roman"/>
          <w:kern w:val="2"/>
          <w:sz w:val="20"/>
          <w:szCs w:val="20"/>
          <w:lang w:val="en-GB" w:eastAsia="en-US"/>
        </w:rPr>
        <w:t xml:space="preserve">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sidR="00BE1760">
        <w:rPr>
          <w:rFonts w:eastAsia="Times New Roman"/>
          <w:kern w:val="2"/>
          <w:sz w:val="20"/>
          <w:szCs w:val="20"/>
          <w:lang w:val="en-GB" w:eastAsia="en-US"/>
        </w:rPr>
        <w:t xml:space="preserve"> for SL-PRS can be initialized with:</w:t>
      </w:r>
    </w:p>
    <w:p w14:paraId="4B212F8E" w14:textId="77777777" w:rsidR="00DA610C" w:rsidRDefault="00FC5CED">
      <w:pPr>
        <w:keepLines/>
        <w:tabs>
          <w:tab w:val="center" w:pos="4536"/>
          <w:tab w:val="right" w:pos="9072"/>
        </w:tabs>
        <w:snapToGrid w:val="0"/>
        <w:spacing w:afterLines="50" w:after="180"/>
        <w:jc w:val="center"/>
        <w:rPr>
          <w:rFonts w:eastAsia="Times New Roman"/>
          <w:sz w:val="20"/>
          <w:szCs w:val="20"/>
          <w:lang w:val="en-GB" w:eastAsia="en-US"/>
        </w:rPr>
      </w:pPr>
      <m:oMathPara>
        <m:oMath>
          <m:sSub>
            <m:sSubPr>
              <m:ctrlPr>
                <w:rPr>
                  <w:rFonts w:ascii="Cambria Math" w:eastAsia="Times New Roman" w:hAnsi="Cambria Math"/>
                  <w:sz w:val="20"/>
                  <w:szCs w:val="20"/>
                  <w:lang w:val="en-GB" w:eastAsia="en-US"/>
                </w:rPr>
              </m:ctrlPr>
            </m:sSubPr>
            <m:e>
              <m:r>
                <w:rPr>
                  <w:rFonts w:ascii="Cambria Math" w:eastAsia="Times New Roman" w:hAnsi="Cambria Math"/>
                  <w:sz w:val="20"/>
                  <w:szCs w:val="20"/>
                  <w:lang w:val="en-GB" w:eastAsia="en-US"/>
                </w:rPr>
                <m:t>c</m:t>
              </m:r>
            </m:e>
            <m:sub>
              <m:r>
                <m:rPr>
                  <m:nor/>
                </m:rPr>
                <w:rPr>
                  <w:rFonts w:eastAsia="Times New Roman"/>
                  <w:sz w:val="20"/>
                  <w:szCs w:val="20"/>
                  <w:lang w:val="en-GB" w:eastAsia="en-US"/>
                </w:rPr>
                <m:t>init</m:t>
              </m:r>
            </m:sub>
          </m:sSub>
          <m:r>
            <m:rPr>
              <m:sty m:val="p"/>
            </m:rPr>
            <w:rPr>
              <w:rFonts w:ascii="Cambria Math" w:eastAsia="Times New Roman" w:hAnsi="Cambria Math"/>
              <w:sz w:val="20"/>
              <w:szCs w:val="20"/>
              <w:lang w:val="en-GB" w:eastAsia="en-US"/>
            </w:rPr>
            <m:t>=</m:t>
          </m:r>
          <m:d>
            <m:dPr>
              <m:ctrlPr>
                <w:rPr>
                  <w:rFonts w:ascii="Cambria Math" w:eastAsia="Times New Roman" w:hAnsi="Cambria Math"/>
                  <w:sz w:val="20"/>
                  <w:szCs w:val="20"/>
                  <w:lang w:val="en-GB" w:eastAsia="en-US"/>
                </w:rPr>
              </m:ctrlPr>
            </m:dPr>
            <m:e>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m</m:t>
                  </m:r>
                </m:sup>
              </m:sSup>
              <m:d>
                <m:dPr>
                  <m:ctrlPr>
                    <w:rPr>
                      <w:rFonts w:ascii="Cambria Math" w:eastAsia="Times New Roman" w:hAnsi="Cambria Math"/>
                      <w:sz w:val="20"/>
                      <w:szCs w:val="20"/>
                      <w:lang w:val="en-GB" w:eastAsia="en-US"/>
                    </w:rPr>
                  </m:ctrlPr>
                </m:dPr>
                <m:e>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s,f</m:t>
                      </m:r>
                    </m:sub>
                    <m:sup>
                      <m:r>
                        <w:rPr>
                          <w:rFonts w:ascii="Cambria Math" w:eastAsia="Times New Roman" w:hAnsi="Cambria Math"/>
                          <w:sz w:val="20"/>
                          <w:szCs w:val="20"/>
                          <w:lang w:val="en-GB" w:eastAsia="en-US"/>
                        </w:rPr>
                        <m:t>μ</m:t>
                      </m:r>
                    </m:sup>
                  </m:sSubSup>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l</m:t>
                  </m:r>
                  <m:r>
                    <m:rPr>
                      <m:sty m:val="p"/>
                    </m:rPr>
                    <w:rPr>
                      <w:rFonts w:ascii="Cambria Math" w:eastAsia="Times New Roman" w:hAnsi="Cambria Math"/>
                      <w:sz w:val="20"/>
                      <w:szCs w:val="20"/>
                      <w:lang w:val="en-GB" w:eastAsia="en-US"/>
                    </w:rPr>
                    <m:t>+1</m:t>
                  </m:r>
                </m:e>
              </m:d>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r>
                    <m:rPr>
                      <m:sty m:val="p"/>
                    </m:rPr>
                    <w:rPr>
                      <w:rFonts w:ascii="Cambria Math" w:eastAsia="Times New Roman" w:hAnsi="Cambria Math"/>
                      <w:sz w:val="20"/>
                      <w:szCs w:val="20"/>
                      <w:lang w:val="en-GB" w:eastAsia="en-US"/>
                    </w:rPr>
                    <m:t>+1</m:t>
                  </m:r>
                </m:e>
              </m:d>
              <m:r>
                <m:rPr>
                  <m:sty m:val="p"/>
                </m:rPr>
                <w:rPr>
                  <w:rFonts w:ascii="Cambria Math" w:eastAsia="Times New Roman" w:hAnsi="Cambria Math"/>
                  <w:sz w:val="20"/>
                  <w:szCs w:val="20"/>
                  <w:lang w:val="en-GB" w:eastAsia="en-US"/>
                </w:rPr>
                <m:t>+</m:t>
              </m:r>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e>
          </m:d>
          <m:r>
            <m:rPr>
              <m:nor/>
            </m:rPr>
            <w:rPr>
              <w:rFonts w:ascii="Cambria Math" w:eastAsia="Times New Roman"/>
              <w:sz w:val="20"/>
              <w:szCs w:val="20"/>
              <w:lang w:val="en-GB" w:eastAsia="en-US"/>
            </w:rPr>
            <m:t xml:space="preserve"> </m:t>
          </m:r>
          <m:r>
            <m:rPr>
              <m:nor/>
            </m:rPr>
            <w:rPr>
              <w:rFonts w:eastAsia="Times New Roman"/>
              <w:sz w:val="20"/>
              <w:szCs w:val="20"/>
              <w:lang w:val="en-GB" w:eastAsia="en-US"/>
            </w:rPr>
            <m:t>mod</m:t>
          </m:r>
          <m:r>
            <m:rPr>
              <m:nor/>
            </m:rPr>
            <w:rPr>
              <w:rFonts w:ascii="Cambria Math" w:eastAsia="Times New Roman"/>
              <w:sz w:val="20"/>
              <w:szCs w:val="20"/>
              <w:lang w:val="en-GB" w:eastAsia="en-US"/>
            </w:rPr>
            <m:t xml:space="preserve"> </m:t>
          </m:r>
          <m:sSup>
            <m:sSupPr>
              <m:ctrlPr>
                <w:rPr>
                  <w:rFonts w:ascii="Cambria Math" w:eastAsia="Times New Roman" w:hAnsi="Cambria Math"/>
                  <w:sz w:val="20"/>
                  <w:szCs w:val="20"/>
                  <w:lang w:val="en-GB" w:eastAsia="en-US"/>
                </w:rPr>
              </m:ctrlPr>
            </m:sSupPr>
            <m:e>
              <m:r>
                <m:rPr>
                  <m:sty m:val="p"/>
                </m:rPr>
                <w:rPr>
                  <w:rFonts w:ascii="Cambria Math" w:eastAsia="Times New Roman" w:hAnsi="Cambria Math"/>
                  <w:sz w:val="20"/>
                  <w:szCs w:val="20"/>
                  <w:lang w:val="en-GB" w:eastAsia="en-US"/>
                </w:rPr>
                <m:t>2</m:t>
              </m:r>
            </m:e>
            <m:sup>
              <m:r>
                <m:rPr>
                  <m:sty m:val="p"/>
                </m:rPr>
                <w:rPr>
                  <w:rFonts w:ascii="Cambria Math" w:eastAsia="Times New Roman" w:hAnsi="Cambria Math"/>
                  <w:sz w:val="20"/>
                  <w:szCs w:val="20"/>
                  <w:lang w:val="en-GB" w:eastAsia="en-US"/>
                </w:rPr>
                <m:t>31</m:t>
              </m:r>
            </m:sup>
          </m:sSup>
        </m:oMath>
      </m:oMathPara>
    </w:p>
    <w:p w14:paraId="2ED86DA6" w14:textId="77777777" w:rsidR="00F83536" w:rsidRDefault="00644264">
      <w:pPr>
        <w:widowControl w:val="0"/>
        <w:snapToGrid w:val="0"/>
        <w:spacing w:afterLines="50" w:after="180"/>
        <w:jc w:val="both"/>
        <w:rPr>
          <w:kern w:val="2"/>
          <w:sz w:val="20"/>
          <w:szCs w:val="20"/>
        </w:rPr>
      </w:pPr>
      <w:r>
        <w:rPr>
          <w:kern w:val="2"/>
          <w:sz w:val="20"/>
          <w:szCs w:val="20"/>
        </w:rPr>
        <w:t>w</w:t>
      </w:r>
      <w:r w:rsidR="00594EBC">
        <w:rPr>
          <w:kern w:val="2"/>
          <w:sz w:val="20"/>
          <w:szCs w:val="20"/>
        </w:rPr>
        <w:t xml:space="preserve">here </w:t>
      </w:r>
      <m:oMath>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oMath>
      <w:r w:rsidR="00594EBC">
        <w:rPr>
          <w:rFonts w:hint="eastAsia"/>
          <w:sz w:val="20"/>
          <w:szCs w:val="20"/>
          <w:lang w:val="en-GB"/>
        </w:rPr>
        <w:t xml:space="preserve"> </w:t>
      </w:r>
      <w:r w:rsidR="00594EBC">
        <w:rPr>
          <w:sz w:val="20"/>
          <w:szCs w:val="20"/>
          <w:lang w:val="en-GB"/>
        </w:rPr>
        <w:t>is the number of consecutive OFDM symbols in a slot,</w:t>
      </w:r>
      <w:r w:rsidR="00594EBC">
        <w:rPr>
          <w:kern w:val="2"/>
          <w:sz w:val="20"/>
          <w:szCs w:val="20"/>
        </w:rPr>
        <w:t xml:space="preserve"> </w:t>
      </w:r>
      <m:oMath>
        <m:sSubSup>
          <m:sSubSupPr>
            <m:ctrlPr>
              <w:rPr>
                <w:rFonts w:ascii="Cambria Math" w:hAnsi="Cambria Math"/>
                <w:i/>
                <w:kern w:val="2"/>
                <w:sz w:val="20"/>
                <w:szCs w:val="20"/>
              </w:rPr>
            </m:ctrlPr>
          </m:sSubSupPr>
          <m:e>
            <m:r>
              <w:rPr>
                <w:rFonts w:ascii="Cambria Math" w:hAnsi="Cambria Math"/>
                <w:kern w:val="2"/>
                <w:sz w:val="20"/>
                <w:szCs w:val="20"/>
              </w:rPr>
              <m:t>n</m:t>
            </m:r>
          </m:e>
          <m:sub>
            <m:r>
              <m:rPr>
                <m:nor/>
              </m:rPr>
              <w:rPr>
                <w:rFonts w:ascii="Cambria Math" w:hAnsi="Cambria Math"/>
                <w:kern w:val="2"/>
                <w:sz w:val="20"/>
                <w:szCs w:val="20"/>
              </w:rPr>
              <m:t>s,f</m:t>
            </m:r>
          </m:sub>
          <m:sup>
            <m:r>
              <w:rPr>
                <w:rFonts w:ascii="Cambria Math" w:hAnsi="Cambria Math"/>
                <w:kern w:val="2"/>
                <w:sz w:val="20"/>
                <w:szCs w:val="20"/>
              </w:rPr>
              <m:t>μ</m:t>
            </m:r>
          </m:sup>
        </m:sSubSup>
      </m:oMath>
      <w:r w:rsidR="00594EBC">
        <w:rPr>
          <w:kern w:val="2"/>
          <w:sz w:val="20"/>
          <w:szCs w:val="20"/>
        </w:rPr>
        <w:t xml:space="preserve"> is the slot number within a radio frame, </w:t>
      </w:r>
      <m:oMath>
        <m:r>
          <w:rPr>
            <w:rFonts w:ascii="Cambria Math" w:hAnsi="Cambria Math"/>
            <w:kern w:val="2"/>
            <w:sz w:val="20"/>
            <w:szCs w:val="20"/>
          </w:rPr>
          <m:t>l</m:t>
        </m:r>
      </m:oMath>
      <w:r w:rsidR="00594EBC">
        <w:rPr>
          <w:kern w:val="2"/>
          <w:sz w:val="20"/>
          <w:szCs w:val="20"/>
        </w:rPr>
        <w:t xml:space="preserve"> is the OFDM symbol number within a slot, </w:t>
      </w:r>
      <m:oMath>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oMath>
      <w:r w:rsidR="00594EBC">
        <w:rPr>
          <w:rFonts w:hint="eastAsia"/>
          <w:kern w:val="2"/>
          <w:sz w:val="21"/>
          <w:szCs w:val="21"/>
          <w:lang w:val="en-GB"/>
        </w:rPr>
        <w:t xml:space="preserve"> </w:t>
      </w:r>
      <w:r w:rsidR="00594EBC">
        <w:rPr>
          <w:kern w:val="2"/>
          <w:sz w:val="20"/>
          <w:szCs w:val="20"/>
        </w:rPr>
        <w:t xml:space="preserve">is SL-PRS sequence ID, </w:t>
      </w:r>
      <m:oMath>
        <m:r>
          <m:rPr>
            <m:sty m:val="p"/>
          </m:rPr>
          <w:rPr>
            <w:rFonts w:ascii="Cambria Math" w:eastAsia="Times New Roman" w:hAnsi="Cambria Math"/>
            <w:sz w:val="20"/>
            <w:szCs w:val="20"/>
            <w:lang w:val="en-GB" w:eastAsia="en-US"/>
          </w:rPr>
          <m:t>m</m:t>
        </m:r>
      </m:oMath>
      <w:r w:rsidR="00594EBC">
        <w:rPr>
          <w:kern w:val="2"/>
          <w:sz w:val="20"/>
          <w:szCs w:val="20"/>
        </w:rPr>
        <w:t xml:space="preserve"> equals to the bit size of SL-PRS sequence ID. </w:t>
      </w:r>
    </w:p>
    <w:p w14:paraId="532A431C" w14:textId="0E8C42B1" w:rsidR="00DA610C" w:rsidRDefault="00644264" w:rsidP="006B6E63">
      <w:pPr>
        <w:widowControl w:val="0"/>
        <w:snapToGrid w:val="0"/>
        <w:spacing w:afterLines="50" w:after="180"/>
        <w:jc w:val="both"/>
        <w:rPr>
          <w:kern w:val="2"/>
          <w:sz w:val="20"/>
          <w:szCs w:val="20"/>
        </w:rPr>
      </w:pPr>
      <w:r>
        <w:rPr>
          <w:kern w:val="2"/>
          <w:sz w:val="20"/>
          <w:szCs w:val="20"/>
        </w:rPr>
        <w:t xml:space="preserve">For </w:t>
      </w:r>
      <w:r w:rsidR="00594EBC">
        <w:rPr>
          <w:kern w:val="2"/>
          <w:sz w:val="20"/>
          <w:szCs w:val="20"/>
        </w:rPr>
        <w:t>SL CSI-RS</w:t>
      </w:r>
      <w:r>
        <w:rPr>
          <w:kern w:val="2"/>
          <w:sz w:val="20"/>
          <w:szCs w:val="20"/>
        </w:rPr>
        <w:t>, only unicast transmission is supported and it has to be transmitted along with PSSCH.</w:t>
      </w:r>
      <w:r w:rsidR="009F5E8B">
        <w:rPr>
          <w:kern w:val="2"/>
          <w:sz w:val="20"/>
          <w:szCs w:val="20"/>
        </w:rPr>
        <w:t xml:space="preserve"> However, it is expected to support not only unicast SL-PRS transmission, but also groupcast and broadcast SL-PRS transmission</w:t>
      </w:r>
      <w:r w:rsidR="00F83536">
        <w:rPr>
          <w:kern w:val="2"/>
          <w:sz w:val="20"/>
          <w:szCs w:val="20"/>
        </w:rPr>
        <w:t>.</w:t>
      </w:r>
      <w:r w:rsidR="00F83536" w:rsidRPr="00F83536">
        <w:rPr>
          <w:kern w:val="2"/>
          <w:sz w:val="20"/>
          <w:szCs w:val="20"/>
        </w:rPr>
        <w:t xml:space="preserve"> </w:t>
      </w:r>
      <w:r w:rsidR="00F83536">
        <w:rPr>
          <w:kern w:val="2"/>
          <w:sz w:val="20"/>
          <w:szCs w:val="20"/>
        </w:rPr>
        <w:t>SL-PRS transmission is not bounded with PSSCH especially in dedicated resource pool</w:t>
      </w:r>
      <w:r w:rsidR="009F5E8B">
        <w:rPr>
          <w:kern w:val="2"/>
          <w:sz w:val="20"/>
          <w:szCs w:val="20"/>
        </w:rPr>
        <w:t>.</w:t>
      </w:r>
      <w:r w:rsidR="00FA5980">
        <w:rPr>
          <w:kern w:val="2"/>
          <w:sz w:val="20"/>
          <w:szCs w:val="20"/>
        </w:rPr>
        <w:t xml:space="preserve"> </w:t>
      </w:r>
      <w:r w:rsidR="00F83536">
        <w:rPr>
          <w:kern w:val="2"/>
          <w:sz w:val="20"/>
          <w:szCs w:val="20"/>
        </w:rPr>
        <w:t>I</w:t>
      </w:r>
      <w:r w:rsidR="00FA5980">
        <w:rPr>
          <w:kern w:val="2"/>
          <w:sz w:val="20"/>
          <w:szCs w:val="20"/>
        </w:rPr>
        <w:t xml:space="preserve">n order to </w:t>
      </w:r>
      <w:r w:rsidR="00FA5980" w:rsidRPr="00594EBC">
        <w:rPr>
          <w:kern w:val="2"/>
          <w:sz w:val="20"/>
          <w:szCs w:val="20"/>
        </w:rPr>
        <w:t>ensure interference randomization and sequence correlation properties among SL-PRS of multiple UE</w:t>
      </w:r>
      <w:r w:rsidR="00FA5980">
        <w:rPr>
          <w:kern w:val="2"/>
          <w:sz w:val="20"/>
          <w:szCs w:val="20"/>
        </w:rPr>
        <w:t xml:space="preserve">s, the value range of </w:t>
      </w:r>
      <w:r w:rsidR="00E62813">
        <w:rPr>
          <w:kern w:val="2"/>
          <w:sz w:val="20"/>
          <w:szCs w:val="20"/>
        </w:rPr>
        <w:t>SL-PRS sequence ID can also be set to 0-4095 as DL-PRS</w:t>
      </w:r>
      <w:r w:rsidR="0021312E">
        <w:rPr>
          <w:kern w:val="2"/>
          <w:sz w:val="20"/>
          <w:szCs w:val="20"/>
        </w:rPr>
        <w:t>.</w:t>
      </w:r>
      <w:r w:rsidR="009F5E8B">
        <w:rPr>
          <w:kern w:val="2"/>
          <w:sz w:val="20"/>
          <w:szCs w:val="20"/>
        </w:rPr>
        <w:t xml:space="preserve"> </w:t>
      </w:r>
      <w:r w:rsidR="0021312E">
        <w:rPr>
          <w:kern w:val="2"/>
          <w:sz w:val="20"/>
          <w:szCs w:val="20"/>
        </w:rPr>
        <w:t>I</w:t>
      </w:r>
      <w:r w:rsidR="006B6E63">
        <w:rPr>
          <w:kern w:val="2"/>
          <w:sz w:val="20"/>
          <w:szCs w:val="20"/>
        </w:rPr>
        <w:t xml:space="preserve">f </w:t>
      </w:r>
      <w:r w:rsidR="006B6E63">
        <w:rPr>
          <w:sz w:val="20"/>
          <w:lang w:val="en-GB"/>
        </w:rPr>
        <w:t xml:space="preserve">the value range of SL-PRS sequence ID is the same as DL PRS and </w:t>
      </w:r>
      <w:r w:rsidR="006B6E63">
        <w:rPr>
          <w:kern w:val="2"/>
          <w:sz w:val="20"/>
          <w:szCs w:val="20"/>
        </w:rPr>
        <w:t xml:space="preserve">the bit size is larger than 10, it is better to add a high-bit offset to </w:t>
      </w:r>
      <w:r w:rsidR="00BE1760">
        <w:rPr>
          <w:kern w:val="2"/>
          <w:sz w:val="20"/>
          <w:szCs w:val="20"/>
        </w:rPr>
        <w:t xml:space="preserve">align with DL-PRS’s sequence design and </w:t>
      </w:r>
      <w:r w:rsidR="006B6E63">
        <w:rPr>
          <w:kern w:val="2"/>
          <w:sz w:val="20"/>
          <w:szCs w:val="20"/>
        </w:rPr>
        <w:t>enable the multiplexing between SL-PRS and SL CSI-RS.</w:t>
      </w:r>
      <w:r w:rsidR="006B6E63">
        <w:rPr>
          <w:rFonts w:hint="eastAsia"/>
          <w:kern w:val="2"/>
          <w:sz w:val="20"/>
          <w:szCs w:val="20"/>
        </w:rPr>
        <w:t xml:space="preserve"> </w:t>
      </w:r>
      <w:r w:rsidR="006B6E63">
        <w:rPr>
          <w:kern w:val="2"/>
          <w:sz w:val="20"/>
          <w:szCs w:val="20"/>
        </w:rPr>
        <w:t>T</w:t>
      </w:r>
      <w:r w:rsidR="00BE1760">
        <w:rPr>
          <w:rFonts w:eastAsia="Times New Roman"/>
          <w:kern w:val="2"/>
          <w:sz w:val="20"/>
          <w:szCs w:val="20"/>
          <w:lang w:val="en-GB" w:eastAsia="en-US"/>
        </w:rPr>
        <w:t xml:space="preserve">he pseudo-random sequence </w:t>
      </w:r>
      <m:oMath>
        <m:r>
          <w:rPr>
            <w:rFonts w:ascii="Cambria Math" w:eastAsia="Times New Roman" w:hAnsi="Cambria Math"/>
            <w:kern w:val="2"/>
            <w:sz w:val="20"/>
            <w:szCs w:val="20"/>
            <w:lang w:val="en-GB" w:eastAsia="en-US"/>
          </w:rPr>
          <m:t>c</m:t>
        </m:r>
        <m:d>
          <m:dPr>
            <m:ctrlPr>
              <w:rPr>
                <w:rFonts w:ascii="Cambria Math" w:eastAsia="Times New Roman" w:hAnsi="Cambria Math"/>
                <w:i/>
                <w:kern w:val="2"/>
                <w:sz w:val="20"/>
                <w:szCs w:val="20"/>
                <w:lang w:val="en-GB" w:eastAsia="en-US"/>
              </w:rPr>
            </m:ctrlPr>
          </m:dPr>
          <m:e>
            <m:r>
              <w:rPr>
                <w:rFonts w:ascii="Cambria Math" w:eastAsia="Times New Roman" w:hAnsi="Cambria Math"/>
                <w:kern w:val="2"/>
                <w:sz w:val="20"/>
                <w:szCs w:val="20"/>
                <w:lang w:val="en-GB" w:eastAsia="en-US"/>
              </w:rPr>
              <m:t>i</m:t>
            </m:r>
          </m:e>
        </m:d>
      </m:oMath>
      <w:r w:rsidR="00BE1760">
        <w:rPr>
          <w:rFonts w:eastAsia="Times New Roman"/>
          <w:kern w:val="2"/>
          <w:sz w:val="20"/>
          <w:szCs w:val="20"/>
          <w:lang w:val="en-GB" w:eastAsia="en-US"/>
        </w:rPr>
        <w:t xml:space="preserve"> for SL-PRS may be initialized with:</w:t>
      </w:r>
    </w:p>
    <w:p w14:paraId="175D71ED" w14:textId="5ED571AD" w:rsidR="00DA610C" w:rsidRPr="004179CF" w:rsidRDefault="00FC5CED">
      <w:pPr>
        <w:widowControl w:val="0"/>
        <w:snapToGrid w:val="0"/>
        <w:spacing w:afterLines="50" w:after="180"/>
        <w:jc w:val="both"/>
        <w:rPr>
          <w:kern w:val="2"/>
          <w:sz w:val="20"/>
          <w:szCs w:val="20"/>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eastAsia="Times New Roman"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ID</m:t>
                      </m:r>
                    </m:sub>
                    <m:sup>
                      <m:r>
                        <m:rPr>
                          <m:nor/>
                        </m:rPr>
                        <w:rPr>
                          <w:rFonts w:ascii="Cambria Math" w:eastAsia="Times New Roman"/>
                          <w:kern w:val="2"/>
                          <w:sz w:val="20"/>
                          <w:szCs w:val="20"/>
                          <w:lang w:val="en-GB" w:eastAsia="en-US"/>
                        </w:rPr>
                        <m:t>SL-</m:t>
                      </m:r>
                      <m:r>
                        <m:rPr>
                          <m:nor/>
                        </m:rPr>
                        <w:rPr>
                          <w:rFonts w:eastAsia="Times New Roman"/>
                          <w:kern w:val="2"/>
                          <w:sz w:val="20"/>
                          <w:szCs w:val="20"/>
                          <w:lang w:val="en-GB" w:eastAsia="en-US"/>
                        </w:rPr>
                        <m:t>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3D76DA48" w14:textId="122B73CB" w:rsidR="004179CF" w:rsidRDefault="004179CF">
      <w:pPr>
        <w:widowControl w:val="0"/>
        <w:snapToGrid w:val="0"/>
        <w:spacing w:afterLines="50" w:after="180"/>
        <w:jc w:val="both"/>
        <w:rPr>
          <w:sz w:val="20"/>
          <w:lang w:val="en-GB"/>
        </w:rPr>
      </w:pPr>
      <w:r>
        <w:rPr>
          <w:rFonts w:hint="eastAsia"/>
          <w:kern w:val="2"/>
          <w:sz w:val="21"/>
          <w:szCs w:val="21"/>
        </w:rPr>
        <w:t>I</w:t>
      </w:r>
      <w:r>
        <w:rPr>
          <w:kern w:val="2"/>
          <w:sz w:val="21"/>
          <w:szCs w:val="21"/>
        </w:rPr>
        <w:t xml:space="preserve">n such case, </w:t>
      </w:r>
      <w:r>
        <w:rPr>
          <w:sz w:val="20"/>
          <w:lang w:val="en-GB"/>
        </w:rPr>
        <w:t xml:space="preserve">when the value range of SL-PRS sequence ID is 0~1024, </w:t>
      </w:r>
      <w:r>
        <w:rPr>
          <w:kern w:val="2"/>
          <w:sz w:val="20"/>
          <w:lang w:val="en-GB" w:eastAsia="en-US"/>
        </w:rPr>
        <w:t xml:space="preserve">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rPr>
        <w:t xml:space="preserve"> </w:t>
      </w:r>
      <w:r>
        <w:rPr>
          <w:sz w:val="20"/>
          <w:lang w:val="en-GB"/>
        </w:rPr>
        <w:t xml:space="preserve">function of SL-PRS is the same as </w:t>
      </w:r>
      <w:r>
        <w:rPr>
          <w:kern w:val="2"/>
          <w:sz w:val="20"/>
          <w:lang w:val="en-GB" w:eastAsia="en-US"/>
        </w:rPr>
        <w:lastRenderedPageBreak/>
        <w:t>that</w:t>
      </w:r>
      <w:r>
        <w:rPr>
          <w:sz w:val="20"/>
          <w:lang w:val="en-GB"/>
        </w:rPr>
        <w:t xml:space="preserve"> of SL CSI-RS and thus beneficial for multiplexing between SL-PRS and SL CSI-RS.</w:t>
      </w:r>
    </w:p>
    <w:p w14:paraId="2805E6AC" w14:textId="12187ABC" w:rsidR="0021312E" w:rsidRDefault="0021312E">
      <w:pPr>
        <w:widowControl w:val="0"/>
        <w:snapToGrid w:val="0"/>
        <w:spacing w:afterLines="50" w:after="180"/>
        <w:jc w:val="both"/>
        <w:rPr>
          <w:kern w:val="2"/>
          <w:sz w:val="20"/>
        </w:rPr>
      </w:pPr>
      <w:r>
        <w:rPr>
          <w:rFonts w:hint="eastAsia"/>
          <w:sz w:val="20"/>
          <w:lang w:val="en-GB"/>
        </w:rPr>
        <w:t>A</w:t>
      </w:r>
      <w:r>
        <w:rPr>
          <w:sz w:val="20"/>
          <w:lang w:val="en-GB"/>
        </w:rPr>
        <w:t xml:space="preserve">s for the SL-PRS sequence ID configuration, there are two </w:t>
      </w:r>
      <w:r w:rsidR="00DA1F3A">
        <w:rPr>
          <w:sz w:val="20"/>
          <w:lang w:val="en-GB"/>
        </w:rPr>
        <w:t>options</w:t>
      </w:r>
      <w:r>
        <w:rPr>
          <w:sz w:val="20"/>
          <w:lang w:val="en-GB"/>
        </w:rPr>
        <w:t>: (1) SL-PRS sequence ID is configured via high layer signalling;</w:t>
      </w:r>
      <w:r w:rsidR="00DA1F3A">
        <w:rPr>
          <w:sz w:val="20"/>
          <w:lang w:val="en-GB"/>
        </w:rPr>
        <w:t xml:space="preserve"> (2) SL-PRS sequence ID is </w:t>
      </w:r>
      <w:r w:rsidR="00DA1F3A">
        <w:rPr>
          <w:kern w:val="2"/>
          <w:sz w:val="20"/>
        </w:rPr>
        <w:t xml:space="preserve">related to CRC for the sidelink control information. </w:t>
      </w:r>
    </w:p>
    <w:p w14:paraId="193DBCA9" w14:textId="5F3FDEFA" w:rsidR="0021312E" w:rsidRDefault="00DA1F3A">
      <w:pPr>
        <w:widowControl w:val="0"/>
        <w:snapToGrid w:val="0"/>
        <w:spacing w:afterLines="50" w:after="180"/>
        <w:jc w:val="both"/>
        <w:rPr>
          <w:kern w:val="2"/>
          <w:sz w:val="20"/>
          <w:szCs w:val="20"/>
        </w:rPr>
      </w:pPr>
      <w:r>
        <w:rPr>
          <w:sz w:val="20"/>
          <w:lang w:val="en-GB"/>
        </w:rPr>
        <w:t xml:space="preserve">Option </w:t>
      </w:r>
      <w:r>
        <w:rPr>
          <w:rFonts w:hint="eastAsia"/>
          <w:sz w:val="20"/>
          <w:lang w:val="en-GB"/>
        </w:rPr>
        <w:t>(</w:t>
      </w:r>
      <w:r>
        <w:rPr>
          <w:sz w:val="20"/>
          <w:lang w:val="en-GB"/>
        </w:rPr>
        <w:t xml:space="preserve">1): Similar as </w:t>
      </w:r>
      <w:r w:rsidR="00FD6C50">
        <w:rPr>
          <w:sz w:val="20"/>
          <w:lang w:val="en-GB"/>
        </w:rPr>
        <w:t>D</w:t>
      </w:r>
      <w:r>
        <w:rPr>
          <w:sz w:val="20"/>
          <w:lang w:val="en-GB"/>
        </w:rPr>
        <w:t xml:space="preserve">L-PRS design, </w:t>
      </w:r>
      <w:r w:rsidR="00234E48">
        <w:rPr>
          <w:sz w:val="20"/>
          <w:lang w:val="en-GB"/>
        </w:rPr>
        <w:t>t</w:t>
      </w:r>
      <w:r w:rsidR="0021312E">
        <w:rPr>
          <w:kern w:val="2"/>
          <w:sz w:val="20"/>
          <w:szCs w:val="20"/>
        </w:rPr>
        <w:t xml:space="preserve">he SL-PRS sequence ID can be configured via higher layer signaling. </w:t>
      </w:r>
      <w:r w:rsidR="00234E48">
        <w:rPr>
          <w:kern w:val="2"/>
          <w:sz w:val="20"/>
          <w:szCs w:val="20"/>
        </w:rPr>
        <w:t xml:space="preserve">For in-coverage scenarios, the network will provide multiple SL-PRS resources each associated with a sequence ID, UE under the same network coverage is able to decode the corresponding SL-PRS. </w:t>
      </w:r>
      <w:r w:rsidR="0023103F">
        <w:rPr>
          <w:kern w:val="2"/>
          <w:sz w:val="20"/>
          <w:szCs w:val="20"/>
        </w:rPr>
        <w:t>However, for out-of-coverage scenario or resource allocation</w:t>
      </w:r>
      <w:r w:rsidR="0023103F" w:rsidRPr="0023103F">
        <w:rPr>
          <w:kern w:val="2"/>
          <w:sz w:val="20"/>
          <w:szCs w:val="20"/>
        </w:rPr>
        <w:t xml:space="preserve"> </w:t>
      </w:r>
      <w:r w:rsidR="0023103F">
        <w:rPr>
          <w:kern w:val="2"/>
          <w:sz w:val="20"/>
          <w:szCs w:val="20"/>
        </w:rPr>
        <w:t>scheme 2, Rx UE ha</w:t>
      </w:r>
      <w:r w:rsidR="00F428B7">
        <w:rPr>
          <w:kern w:val="2"/>
          <w:sz w:val="20"/>
          <w:szCs w:val="20"/>
        </w:rPr>
        <w:t>s</w:t>
      </w:r>
      <w:r w:rsidR="0023103F">
        <w:rPr>
          <w:kern w:val="2"/>
          <w:sz w:val="20"/>
          <w:szCs w:val="20"/>
        </w:rPr>
        <w:t xml:space="preserve"> to obtain the sequence ID information of Tx UE for correctly decoding and measuring SL-PRS.</w:t>
      </w:r>
      <w:r w:rsidR="00A25CFB">
        <w:rPr>
          <w:kern w:val="2"/>
          <w:sz w:val="20"/>
          <w:szCs w:val="20"/>
        </w:rPr>
        <w:t xml:space="preserve"> The sequence ID related information can be either preconfigured for UEs or carried in SCI. </w:t>
      </w:r>
      <w:r w:rsidR="0021312E">
        <w:rPr>
          <w:kern w:val="2"/>
          <w:sz w:val="20"/>
          <w:szCs w:val="20"/>
        </w:rPr>
        <w:t xml:space="preserve">For example, Once Rx UE confirms that its destination ID is equal to Tx UE’s destination ID in the corresponding SCI for groupcast or broadcast SL-PRS </w:t>
      </w:r>
      <w:r w:rsidR="0021312E" w:rsidRPr="00DA1F3A">
        <w:rPr>
          <w:kern w:val="2"/>
          <w:sz w:val="20"/>
          <w:szCs w:val="20"/>
        </w:rPr>
        <w:t xml:space="preserve">transmission, Rx UE will decode and process Tx UE’s SL-PRS according to </w:t>
      </w:r>
      <w:r w:rsidR="004818A2">
        <w:rPr>
          <w:kern w:val="2"/>
          <w:sz w:val="20"/>
          <w:szCs w:val="20"/>
        </w:rPr>
        <w:t>preconfigured</w:t>
      </w:r>
      <w:r w:rsidR="0021312E" w:rsidRPr="00DA1F3A">
        <w:rPr>
          <w:kern w:val="2"/>
          <w:sz w:val="20"/>
          <w:szCs w:val="20"/>
        </w:rPr>
        <w:t xml:space="preserve"> sequence ID</w:t>
      </w:r>
      <w:r w:rsidR="004818A2">
        <w:rPr>
          <w:kern w:val="2"/>
          <w:sz w:val="20"/>
          <w:szCs w:val="20"/>
        </w:rPr>
        <w:t xml:space="preserve"> or the sequence ID information</w:t>
      </w:r>
      <w:r w:rsidR="0021312E" w:rsidRPr="00DA1F3A">
        <w:rPr>
          <w:kern w:val="2"/>
          <w:sz w:val="20"/>
          <w:szCs w:val="20"/>
        </w:rPr>
        <w:t xml:space="preserve"> indicated in the corresponding SCI.</w:t>
      </w:r>
    </w:p>
    <w:p w14:paraId="051BAC75" w14:textId="1345AF00" w:rsidR="00DA1F3A" w:rsidRPr="00DA1F3A" w:rsidRDefault="00DA1F3A">
      <w:pPr>
        <w:widowControl w:val="0"/>
        <w:snapToGrid w:val="0"/>
        <w:spacing w:afterLines="50" w:after="180"/>
        <w:jc w:val="both"/>
        <w:rPr>
          <w:sz w:val="20"/>
          <w:lang w:val="en-GB"/>
        </w:rPr>
      </w:pPr>
      <w:r>
        <w:rPr>
          <w:sz w:val="20"/>
          <w:lang w:val="en-GB"/>
        </w:rPr>
        <w:t xml:space="preserve">Option </w:t>
      </w:r>
      <w:r>
        <w:rPr>
          <w:rFonts w:hint="eastAsia"/>
          <w:sz w:val="20"/>
          <w:lang w:val="en-GB"/>
        </w:rPr>
        <w:t>(</w:t>
      </w:r>
      <w:r>
        <w:rPr>
          <w:sz w:val="20"/>
          <w:lang w:val="en-GB"/>
        </w:rPr>
        <w:t>2):</w:t>
      </w:r>
      <w:r w:rsidR="00FC5CED">
        <w:rPr>
          <w:sz w:val="20"/>
          <w:lang w:val="en-GB"/>
        </w:rPr>
        <w:t xml:space="preserve"> SL-PRS sequence ID is </w:t>
      </w:r>
      <w:r w:rsidR="00FC5CED">
        <w:rPr>
          <w:kern w:val="2"/>
          <w:sz w:val="20"/>
        </w:rPr>
        <w:t xml:space="preserve">related to CRC for the sidelink control information. It is easy and straightforward to reuse SL CSI-RS’ sequence ID design. The logic is that UE needs to firstly </w:t>
      </w:r>
      <w:r w:rsidR="000F4082">
        <w:rPr>
          <w:kern w:val="2"/>
          <w:sz w:val="20"/>
        </w:rPr>
        <w:t xml:space="preserve">guarantee correctly receiving SCI before it decodes and measures the corresponding SL-PRS. </w:t>
      </w:r>
    </w:p>
    <w:p w14:paraId="4739D179" w14:textId="7BC7EC6C"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6B6E63">
        <w:rPr>
          <w:b/>
          <w:bCs/>
          <w:i/>
          <w:iCs/>
          <w:sz w:val="20"/>
          <w:szCs w:val="20"/>
        </w:rPr>
        <w:t>1</w:t>
      </w:r>
      <w:r>
        <w:rPr>
          <w:b/>
          <w:bCs/>
          <w:i/>
          <w:iCs/>
          <w:sz w:val="20"/>
          <w:szCs w:val="20"/>
        </w:rPr>
        <w:t>:</w:t>
      </w:r>
      <w:r>
        <w:rPr>
          <w:i/>
          <w:iCs/>
          <w:sz w:val="20"/>
          <w:szCs w:val="20"/>
        </w:rPr>
        <w:t xml:space="preserve"> </w:t>
      </w:r>
      <w:r w:rsidR="008D53EF">
        <w:rPr>
          <w:i/>
          <w:iCs/>
          <w:sz w:val="20"/>
          <w:szCs w:val="20"/>
        </w:rPr>
        <w:t>For</w:t>
      </w:r>
      <w:r>
        <w:rPr>
          <w:i/>
          <w:iCs/>
          <w:sz w:val="20"/>
          <w:szCs w:val="20"/>
        </w:rPr>
        <w:t xml:space="preserve"> </w:t>
      </w:r>
      <w:r w:rsidR="008D53EF" w:rsidRPr="008D53EF">
        <w:rPr>
          <w:i/>
          <w:iCs/>
          <w:sz w:val="20"/>
          <w:szCs w:val="20"/>
        </w:rPr>
        <w:t>pseudorandom-based</w:t>
      </w:r>
      <w:r>
        <w:rPr>
          <w:i/>
          <w:iCs/>
          <w:sz w:val="20"/>
          <w:szCs w:val="20"/>
        </w:rPr>
        <w:t xml:space="preserve"> SL-PRS, </w:t>
      </w:r>
      <w:r w:rsidR="004179CF">
        <w:rPr>
          <w:i/>
          <w:iCs/>
          <w:sz w:val="20"/>
          <w:szCs w:val="20"/>
        </w:rPr>
        <w:t>apply similar sequence design as DL-PRS</w:t>
      </w:r>
      <w:r>
        <w:rPr>
          <w:i/>
          <w:iCs/>
          <w:sz w:val="20"/>
          <w:szCs w:val="20"/>
        </w:rPr>
        <w:t>:</w:t>
      </w:r>
    </w:p>
    <w:p w14:paraId="1025DB03" w14:textId="1EC44C33" w:rsidR="00DA610C" w:rsidRDefault="00BE1760">
      <w:pPr>
        <w:pStyle w:val="aff2"/>
        <w:numPr>
          <w:ilvl w:val="0"/>
          <w:numId w:val="13"/>
        </w:numPr>
        <w:snapToGrid w:val="0"/>
        <w:spacing w:beforeLines="50" w:before="180" w:afterLines="50"/>
        <w:jc w:val="both"/>
        <w:rPr>
          <w:i/>
          <w:iCs/>
          <w:sz w:val="20"/>
        </w:rPr>
      </w:pPr>
      <w:r>
        <w:rPr>
          <w:rFonts w:hint="eastAsia"/>
          <w:i/>
          <w:iCs/>
          <w:sz w:val="20"/>
          <w:lang w:eastAsia="zh-CN"/>
        </w:rPr>
        <w:t>S</w:t>
      </w:r>
      <w:r>
        <w:rPr>
          <w:i/>
          <w:iCs/>
          <w:sz w:val="20"/>
          <w:lang w:eastAsia="zh-CN"/>
        </w:rPr>
        <w:t xml:space="preserve">L-PRS sequence ID: </w:t>
      </w:r>
      <w:r w:rsidR="004179CF">
        <w:rPr>
          <w:i/>
          <w:iCs/>
          <w:sz w:val="20"/>
          <w:lang w:eastAsia="zh-CN"/>
        </w:rPr>
        <w:t xml:space="preserve">the value range is 0-4095 </w:t>
      </w:r>
    </w:p>
    <w:p w14:paraId="6BAC1532" w14:textId="7096B809" w:rsidR="009141B2" w:rsidRPr="009141B2" w:rsidRDefault="009141B2">
      <w:pPr>
        <w:pStyle w:val="aff2"/>
        <w:numPr>
          <w:ilvl w:val="0"/>
          <w:numId w:val="13"/>
        </w:numPr>
        <w:snapToGrid w:val="0"/>
        <w:spacing w:beforeLines="50" w:before="180" w:afterLines="50"/>
        <w:jc w:val="both"/>
        <w:rPr>
          <w:i/>
          <w:iCs/>
          <w:sz w:val="20"/>
        </w:rPr>
      </w:pPr>
      <w:r>
        <w:rPr>
          <w:rFonts w:eastAsiaTheme="minorEastAsia"/>
          <w:i/>
          <w:iCs/>
          <w:sz w:val="20"/>
          <w:lang w:eastAsia="zh-CN"/>
        </w:rPr>
        <w:t>Select one of the following two options regarding SL-PRS sequence configuration:</w:t>
      </w:r>
    </w:p>
    <w:p w14:paraId="5E443C47" w14:textId="3A6DAD0B" w:rsidR="009141B2" w:rsidRDefault="009141B2" w:rsidP="009141B2">
      <w:pPr>
        <w:pStyle w:val="aff2"/>
        <w:numPr>
          <w:ilvl w:val="1"/>
          <w:numId w:val="13"/>
        </w:numPr>
        <w:snapToGrid w:val="0"/>
        <w:spacing w:beforeLines="50" w:before="180" w:afterLines="50"/>
        <w:jc w:val="both"/>
        <w:rPr>
          <w:i/>
          <w:iCs/>
          <w:sz w:val="20"/>
        </w:rPr>
      </w:pPr>
      <w:r w:rsidRPr="009141B2">
        <w:rPr>
          <w:i/>
          <w:iCs/>
          <w:sz w:val="20"/>
        </w:rPr>
        <w:t xml:space="preserve">SL-PRS sequence ID is configured via high layer </w:t>
      </w:r>
      <w:r>
        <w:rPr>
          <w:i/>
          <w:iCs/>
          <w:sz w:val="20"/>
        </w:rPr>
        <w:t>signaling</w:t>
      </w:r>
    </w:p>
    <w:p w14:paraId="2A824405" w14:textId="144B7E31" w:rsidR="009141B2" w:rsidRDefault="009141B2" w:rsidP="009141B2">
      <w:pPr>
        <w:pStyle w:val="aff2"/>
        <w:numPr>
          <w:ilvl w:val="1"/>
          <w:numId w:val="13"/>
        </w:numPr>
        <w:snapToGrid w:val="0"/>
        <w:spacing w:beforeLines="50" w:before="180" w:afterLines="50"/>
        <w:jc w:val="both"/>
        <w:rPr>
          <w:i/>
          <w:iCs/>
          <w:sz w:val="20"/>
        </w:rPr>
      </w:pPr>
      <w:r w:rsidRPr="009141B2">
        <w:rPr>
          <w:i/>
          <w:iCs/>
          <w:sz w:val="20"/>
        </w:rPr>
        <w:t>SL-PRS sequence ID is related to CRC for the sidelink control information</w:t>
      </w:r>
    </w:p>
    <w:p w14:paraId="09C70362" w14:textId="6798B8C6" w:rsidR="004276C4" w:rsidRPr="000F4082" w:rsidRDefault="00BE1760" w:rsidP="004171E3">
      <w:pPr>
        <w:pStyle w:val="aff2"/>
        <w:numPr>
          <w:ilvl w:val="0"/>
          <w:numId w:val="13"/>
        </w:numPr>
        <w:snapToGrid w:val="0"/>
        <w:spacing w:beforeLines="50" w:before="180" w:afterLines="50"/>
        <w:jc w:val="both"/>
        <w:rPr>
          <w:i/>
          <w:iCs/>
          <w:sz w:val="20"/>
        </w:rPr>
      </w:pPr>
      <w:r w:rsidRPr="004179CF">
        <w:rPr>
          <w:rFonts w:eastAsia="MS Mincho"/>
          <w:i/>
          <w:iCs/>
          <w:sz w:val="20"/>
        </w:rPr>
        <w:t xml:space="preserve">Offset in high-bit: </w:t>
      </w:r>
      <w:r w:rsidR="004179CF">
        <w:rPr>
          <w:rFonts w:eastAsia="MS Mincho"/>
          <w:i/>
          <w:iCs/>
          <w:sz w:val="20"/>
        </w:rPr>
        <w:t>introducing a high-bit offset for better multiplexing with SL CSI-RS</w:t>
      </w:r>
      <w:r w:rsidR="004276C4">
        <w:rPr>
          <w:rFonts w:eastAsia="MS Mincho"/>
          <w:i/>
          <w:iCs/>
          <w:sz w:val="20"/>
        </w:rPr>
        <w:t>, i.e. use the following fo</w:t>
      </w:r>
      <w:r w:rsidR="000F4082">
        <w:rPr>
          <w:rFonts w:eastAsia="MS Mincho"/>
          <w:i/>
          <w:iCs/>
          <w:sz w:val="20"/>
        </w:rPr>
        <w:t>r</w:t>
      </w:r>
      <w:r w:rsidR="004276C4">
        <w:rPr>
          <w:rFonts w:eastAsia="MS Mincho"/>
          <w:i/>
          <w:iCs/>
          <w:sz w:val="20"/>
        </w:rPr>
        <w:t>mula</w:t>
      </w:r>
    </w:p>
    <w:p w14:paraId="32D98E75" w14:textId="77777777" w:rsidR="004276C4" w:rsidRPr="004276C4" w:rsidRDefault="00FC5CED" w:rsidP="000F4082">
      <w:pPr>
        <w:pStyle w:val="aff2"/>
        <w:widowControl w:val="0"/>
        <w:snapToGrid w:val="0"/>
        <w:spacing w:afterLines="50"/>
        <w:ind w:left="1140"/>
        <w:jc w:val="center"/>
        <w:rPr>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m:t>
                          </m:r>
                          <m:r>
                            <m:rPr>
                              <m:nor/>
                            </m:rPr>
                            <w:rPr>
                              <w:rFonts w:eastAsia="Times New Roman"/>
                              <w:kern w:val="2"/>
                              <w:sz w:val="20"/>
                              <w:lang w:val="en-GB" w:eastAsia="en-US"/>
                            </w:rPr>
                            <m:t>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m:t>
                          </m:r>
                          <m:r>
                            <m:rPr>
                              <m:nor/>
                            </m:rPr>
                            <w:rPr>
                              <w:rFonts w:eastAsia="Times New Roman"/>
                              <w:kern w:val="2"/>
                              <w:sz w:val="20"/>
                              <w:lang w:val="en-GB" w:eastAsia="en-US"/>
                            </w:rPr>
                            <m:t>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m:t>
                      </m:r>
                      <m:r>
                        <m:rPr>
                          <m:nor/>
                        </m:rPr>
                        <w:rPr>
                          <w:rFonts w:eastAsia="Times New Roman"/>
                          <w:kern w:val="2"/>
                          <w:sz w:val="20"/>
                          <w:lang w:val="en-GB" w:eastAsia="en-US"/>
                        </w:rPr>
                        <m:t>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2ED36512" w14:textId="77777777" w:rsidR="00E05BB2" w:rsidRPr="000F4082" w:rsidRDefault="00E05BB2" w:rsidP="000F4082">
      <w:pPr>
        <w:snapToGrid w:val="0"/>
        <w:spacing w:beforeLines="50" w:before="180" w:afterLines="50" w:after="180"/>
        <w:jc w:val="both"/>
        <w:rPr>
          <w:rFonts w:eastAsiaTheme="minorEastAsia" w:hint="eastAsia"/>
          <w:i/>
          <w:iCs/>
          <w:sz w:val="20"/>
        </w:rPr>
      </w:pPr>
    </w:p>
    <w:p w14:paraId="56148246" w14:textId="405BA023" w:rsidR="00C36F3A" w:rsidRPr="00C36F3A" w:rsidRDefault="00C36F3A" w:rsidP="00C36F3A">
      <w:pPr>
        <w:autoSpaceDE w:val="0"/>
        <w:autoSpaceDN w:val="0"/>
        <w:adjustRightInd w:val="0"/>
        <w:snapToGrid w:val="0"/>
        <w:spacing w:after="120"/>
        <w:jc w:val="both"/>
        <w:outlineLvl w:val="2"/>
        <w:rPr>
          <w:rFonts w:ascii="Arial" w:hAnsi="Arial" w:cs="Arial"/>
        </w:rPr>
      </w:pPr>
      <w:r>
        <w:rPr>
          <w:rFonts w:ascii="Arial" w:hAnsi="Arial" w:cs="Arial"/>
        </w:rPr>
        <w:t>2.</w:t>
      </w:r>
      <w:r w:rsidR="00CF3D61">
        <w:rPr>
          <w:rFonts w:ascii="Arial" w:hAnsi="Arial" w:cs="Arial"/>
        </w:rPr>
        <w:t>1</w:t>
      </w:r>
      <w:r>
        <w:rPr>
          <w:rFonts w:ascii="Arial" w:hAnsi="Arial" w:cs="Arial"/>
        </w:rPr>
        <w:t>.2 SL-PRS frequency and time domain pattern</w:t>
      </w:r>
    </w:p>
    <w:tbl>
      <w:tblPr>
        <w:tblStyle w:val="afc"/>
        <w:tblW w:w="0" w:type="auto"/>
        <w:tblLook w:val="04A0" w:firstRow="1" w:lastRow="0" w:firstColumn="1" w:lastColumn="0" w:noHBand="0" w:noVBand="1"/>
      </w:tblPr>
      <w:tblGrid>
        <w:gridCol w:w="9350"/>
      </w:tblGrid>
      <w:tr w:rsidR="00C36F3A" w14:paraId="40C66013" w14:textId="77777777" w:rsidTr="00140683">
        <w:tc>
          <w:tcPr>
            <w:tcW w:w="9350" w:type="dxa"/>
          </w:tcPr>
          <w:p w14:paraId="6BD6A559" w14:textId="77777777" w:rsidR="00C36F3A" w:rsidRDefault="00C36F3A" w:rsidP="00140683">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24923315" w14:textId="77777777" w:rsidR="00C36F3A" w:rsidRDefault="00C36F3A" w:rsidP="00140683">
            <w:p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frequency domain pattern for multi-symbol SL-PRS, prioritize partially and fully staggered SL-PRS. </w:t>
            </w:r>
          </w:p>
          <w:p w14:paraId="17BE67E6" w14:textId="77777777" w:rsidR="00C36F3A" w:rsidRDefault="00C36F3A" w:rsidP="00140683">
            <w:pPr>
              <w:numPr>
                <w:ilvl w:val="0"/>
                <w:numId w:val="11"/>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Note: this does not preclude comb N=1</w:t>
            </w:r>
          </w:p>
          <w:p w14:paraId="7EA4B007" w14:textId="77777777" w:rsidR="00C36F3A" w:rsidRDefault="00C36F3A" w:rsidP="00140683">
            <w:pPr>
              <w:numPr>
                <w:ilvl w:val="0"/>
                <w:numId w:val="11"/>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FFS: single symbol SL-PRS, if supported</w:t>
            </w:r>
          </w:p>
          <w:p w14:paraId="0F01F5B5" w14:textId="77777777" w:rsidR="00C36F3A" w:rsidRDefault="00C36F3A" w:rsidP="00140683">
            <w:pPr>
              <w:snapToGrid w:val="0"/>
              <w:rPr>
                <w:rFonts w:eastAsia="Batang"/>
                <w:b/>
                <w:bCs/>
                <w:sz w:val="20"/>
                <w:szCs w:val="20"/>
                <w:u w:val="single"/>
                <w:lang w:val="en-GB" w:eastAsia="en-US"/>
              </w:rPr>
            </w:pPr>
          </w:p>
          <w:p w14:paraId="593BC94A" w14:textId="77777777" w:rsidR="00C36F3A" w:rsidRDefault="00C36F3A" w:rsidP="0014068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65A5FFFC" w14:textId="77777777" w:rsidR="00C36F3A" w:rsidRPr="00B75FAD" w:rsidRDefault="00C36F3A" w:rsidP="00140683">
            <w:pPr>
              <w:snapToGrid w:val="0"/>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With regards to the frequency and time domain pattern of a </w:t>
            </w:r>
            <w:r w:rsidRPr="00B75FAD">
              <w:rPr>
                <w:rFonts w:ascii="Times" w:eastAsia="Batang" w:hAnsi="Times" w:cs="CG Times (WN)"/>
                <w:i/>
                <w:iCs/>
                <w:sz w:val="20"/>
                <w:szCs w:val="20"/>
                <w:lang w:val="en-GB" w:eastAsia="en-US"/>
              </w:rPr>
              <w:t>SL-PRS resource</w:t>
            </w:r>
            <w:r w:rsidRPr="00B75FAD">
              <w:rPr>
                <w:rFonts w:ascii="Times" w:eastAsia="Batang" w:hAnsi="Times" w:cs="CG Times (WN)"/>
                <w:sz w:val="20"/>
                <w:szCs w:val="20"/>
                <w:lang w:val="en-GB" w:eastAsia="en-US"/>
              </w:rPr>
              <w:t xml:space="preserve"> within a slot has the following characteristics:</w:t>
            </w:r>
          </w:p>
          <w:p w14:paraId="2C5A5A2A" w14:textId="77777777" w:rsidR="00C36F3A" w:rsidRPr="00B75FAD" w:rsidRDefault="00C36F3A" w:rsidP="00140683">
            <w:pPr>
              <w:numPr>
                <w:ilvl w:val="0"/>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 xml:space="preserve">With regards to the value N (comb size) and the </w:t>
            </w:r>
            <w:bookmarkStart w:id="8" w:name="_Hlk118407772"/>
            <w:r w:rsidRPr="00B75FAD">
              <w:rPr>
                <w:rFonts w:ascii="Times" w:eastAsia="Batang" w:hAnsi="Times" w:cs="CG Times (WN)"/>
                <w:sz w:val="20"/>
                <w:szCs w:val="20"/>
                <w:lang w:val="en-GB" w:eastAsia="en-US"/>
              </w:rPr>
              <w:t xml:space="preserve">number M of SL-PRS symbols within a slot </w:t>
            </w:r>
            <w:r w:rsidRPr="00B75FAD">
              <w:rPr>
                <w:rFonts w:ascii="Times" w:eastAsia="Batang" w:hAnsi="Times" w:cs="CG Times (WN)"/>
                <w:i/>
                <w:iCs/>
                <w:sz w:val="20"/>
                <w:szCs w:val="20"/>
                <w:lang w:val="en-GB" w:eastAsia="en-US"/>
              </w:rPr>
              <w:t>excluding</w:t>
            </w:r>
            <w:r w:rsidRPr="00B75FAD">
              <w:rPr>
                <w:rFonts w:ascii="Times" w:eastAsia="Batang" w:hAnsi="Times" w:cs="CG Times (WN)"/>
                <w:sz w:val="20"/>
                <w:szCs w:val="20"/>
                <w:lang w:val="en-GB" w:eastAsia="en-US"/>
              </w:rPr>
              <w:t xml:space="preserve"> the symbol(s) used for AGC training / RxTx Turnaround</w:t>
            </w:r>
            <w:bookmarkEnd w:id="8"/>
            <w:r w:rsidRPr="00B75FAD">
              <w:rPr>
                <w:rFonts w:ascii="Times" w:eastAsia="Batang" w:hAnsi="Times" w:cs="CG Times (WN)"/>
                <w:sz w:val="20"/>
                <w:szCs w:val="20"/>
                <w:lang w:val="en-GB" w:eastAsia="en-US"/>
              </w:rPr>
              <w:t>:</w:t>
            </w:r>
          </w:p>
          <w:p w14:paraId="2141BB27"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At least the following values are considered as potential candidate values: N = {1,2,4,6,8,12}</w:t>
            </w:r>
          </w:p>
          <w:p w14:paraId="71B57BFD"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the values considered as potential candidate values for M</w:t>
            </w:r>
          </w:p>
          <w:p w14:paraId="5A629B49"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FFS1: Whether to consider N&gt;12 as a potential candidate value(s)</w:t>
            </w:r>
          </w:p>
          <w:p w14:paraId="13EC1B76" w14:textId="77777777" w:rsidR="00C36F3A" w:rsidRPr="00B75FAD" w:rsidRDefault="00C36F3A" w:rsidP="00140683">
            <w:pPr>
              <w:numPr>
                <w:ilvl w:val="0"/>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The symbols of a SL-PRS resource within a slot are consecutive symbols</w:t>
            </w:r>
          </w:p>
          <w:p w14:paraId="63E62C79" w14:textId="77777777" w:rsidR="00C36F3A" w:rsidRPr="00B75FAD" w:rsidRDefault="00C36F3A" w:rsidP="00140683">
            <w:pPr>
              <w:numPr>
                <w:ilvl w:val="1"/>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consecutive and/or non-consecutive symbols for shared resource pool (if supported)</w:t>
            </w:r>
          </w:p>
          <w:p w14:paraId="1044F70D" w14:textId="77777777" w:rsidR="00C36F3A" w:rsidRPr="00C36F3A" w:rsidRDefault="00C36F3A" w:rsidP="00C36F3A">
            <w:pPr>
              <w:numPr>
                <w:ilvl w:val="0"/>
                <w:numId w:val="30"/>
              </w:numPr>
              <w:snapToGrid w:val="0"/>
              <w:spacing w:line="259" w:lineRule="auto"/>
              <w:contextualSpacing/>
              <w:jc w:val="both"/>
              <w:rPr>
                <w:rFonts w:ascii="Times" w:eastAsia="Batang" w:hAnsi="Times" w:cs="CG Times (WN)"/>
                <w:sz w:val="20"/>
                <w:szCs w:val="20"/>
                <w:lang w:val="en-GB" w:eastAsia="en-US"/>
              </w:rPr>
            </w:pPr>
            <w:r w:rsidRPr="00B75FAD">
              <w:rPr>
                <w:rFonts w:ascii="Times" w:eastAsia="Batang" w:hAnsi="Times" w:cs="CG Times (WN)"/>
                <w:sz w:val="20"/>
                <w:szCs w:val="20"/>
                <w:lang w:val="en-GB" w:eastAsia="en-US"/>
              </w:rPr>
              <w:t>FFS: RE-Offset sequence within a SL-PRS resource, including whether to have in the end of the SL-PRS pattern a symbol with the same RE-offset as the first symbol, for phase-tracking purpose</w:t>
            </w:r>
          </w:p>
        </w:tc>
      </w:tr>
    </w:tbl>
    <w:p w14:paraId="2E715C10" w14:textId="77777777" w:rsidR="00C25819" w:rsidRDefault="00C36F3A" w:rsidP="00C36F3A">
      <w:pPr>
        <w:autoSpaceDE w:val="0"/>
        <w:autoSpaceDN w:val="0"/>
        <w:adjustRightInd w:val="0"/>
        <w:snapToGrid w:val="0"/>
        <w:spacing w:beforeLines="50" w:before="180" w:afterLines="50" w:after="180"/>
        <w:jc w:val="both"/>
        <w:rPr>
          <w:sz w:val="20"/>
          <w:szCs w:val="20"/>
        </w:rPr>
      </w:pPr>
      <w:r>
        <w:rPr>
          <w:sz w:val="20"/>
          <w:szCs w:val="20"/>
        </w:rPr>
        <w:lastRenderedPageBreak/>
        <w:t>Comb pattern of SL-PRS can reuse the design for DL-PRS as much as possible, the number of SL-PRS symbols excluding AGC symbol and gap symbol within a slot can be flexibly configured</w:t>
      </w:r>
      <w:r w:rsidR="00F70DF2">
        <w:rPr>
          <w:sz w:val="20"/>
          <w:szCs w:val="20"/>
        </w:rPr>
        <w:t>.</w:t>
      </w:r>
      <w:r>
        <w:rPr>
          <w:sz w:val="20"/>
          <w:szCs w:val="20"/>
        </w:rPr>
        <w:t xml:space="preserve"> </w:t>
      </w:r>
      <w:r w:rsidR="00F70DF2">
        <w:rPr>
          <w:sz w:val="20"/>
          <w:szCs w:val="20"/>
        </w:rPr>
        <w:t xml:space="preserve">Specifically, one symbol SL-PRS excluding the AGC-symbol and Gap symbol should be supported for better efficiency and larger capacity. </w:t>
      </w:r>
    </w:p>
    <w:p w14:paraId="15609524" w14:textId="075B1E85" w:rsidR="00C36F3A" w:rsidRDefault="00F70DF2" w:rsidP="00C36F3A">
      <w:pPr>
        <w:autoSpaceDE w:val="0"/>
        <w:autoSpaceDN w:val="0"/>
        <w:adjustRightInd w:val="0"/>
        <w:snapToGrid w:val="0"/>
        <w:spacing w:beforeLines="50" w:before="180" w:afterLines="50" w:after="180"/>
        <w:jc w:val="both"/>
        <w:rPr>
          <w:sz w:val="20"/>
          <w:szCs w:val="20"/>
        </w:rPr>
      </w:pPr>
      <w:r>
        <w:rPr>
          <w:sz w:val="20"/>
          <w:szCs w:val="20"/>
        </w:rPr>
        <w:t xml:space="preserve">In addition, considering limited UE transmit power, we suggest to further consider Comb size N &gt; 12 for SL-PRS to achieve larger power boosting and to support more UEs’ RS multiplexing. We suggest </w:t>
      </w:r>
      <w:r w:rsidRPr="00F70DF2">
        <w:rPr>
          <w:sz w:val="20"/>
          <w:szCs w:val="20"/>
        </w:rPr>
        <w:t xml:space="preserve">the number M of SL-PRS </w:t>
      </w:r>
      <w:r w:rsidRPr="00F70DF2">
        <w:rPr>
          <w:sz w:val="20"/>
          <w:szCs w:val="20"/>
        </w:rPr>
        <w:t>symbols within a slot excluding the symbol(s) used for AGC training / Rx</w:t>
      </w:r>
      <w:r w:rsidR="004171E3">
        <w:rPr>
          <w:sz w:val="20"/>
          <w:szCs w:val="20"/>
        </w:rPr>
        <w:t>-</w:t>
      </w:r>
      <w:r w:rsidRPr="00F70DF2">
        <w:rPr>
          <w:sz w:val="20"/>
          <w:szCs w:val="20"/>
        </w:rPr>
        <w:t>Tx Turnaround</w:t>
      </w:r>
      <w:r>
        <w:rPr>
          <w:sz w:val="20"/>
          <w:szCs w:val="20"/>
        </w:rPr>
        <w:t xml:space="preserve">: </w:t>
      </w:r>
      <w:r w:rsidR="00C36F3A">
        <w:rPr>
          <w:sz w:val="20"/>
          <w:szCs w:val="20"/>
        </w:rPr>
        <w:t>{</w:t>
      </w:r>
      <w:r>
        <w:rPr>
          <w:sz w:val="20"/>
          <w:szCs w:val="20"/>
        </w:rPr>
        <w:t xml:space="preserve">1, </w:t>
      </w:r>
      <w:r w:rsidR="00C36F3A">
        <w:rPr>
          <w:sz w:val="20"/>
          <w:szCs w:val="20"/>
        </w:rPr>
        <w:t xml:space="preserve">2, 4, 6, 12, ...}. </w:t>
      </w:r>
    </w:p>
    <w:p w14:paraId="3546508F" w14:textId="52905D60" w:rsidR="00C36F3A" w:rsidRDefault="00C36F3A" w:rsidP="00C36F3A">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D637EA">
        <w:rPr>
          <w:b/>
          <w:bCs/>
          <w:i/>
          <w:iCs/>
          <w:sz w:val="20"/>
          <w:szCs w:val="20"/>
        </w:rPr>
        <w:t>2</w:t>
      </w:r>
      <w:r>
        <w:rPr>
          <w:b/>
          <w:bCs/>
          <w:i/>
          <w:iCs/>
          <w:sz w:val="20"/>
          <w:szCs w:val="20"/>
        </w:rPr>
        <w:t>:</w:t>
      </w:r>
      <w:r>
        <w:rPr>
          <w:i/>
          <w:iCs/>
          <w:sz w:val="20"/>
          <w:szCs w:val="20"/>
        </w:rPr>
        <w:t xml:space="preserve"> </w:t>
      </w:r>
      <w:r w:rsidR="00A0383B" w:rsidRPr="00A0383B">
        <w:rPr>
          <w:i/>
          <w:iCs/>
          <w:sz w:val="20"/>
          <w:szCs w:val="20"/>
        </w:rPr>
        <w:t>With regards to</w:t>
      </w:r>
      <w:r w:rsidR="009E249F">
        <w:rPr>
          <w:i/>
          <w:iCs/>
          <w:sz w:val="20"/>
          <w:szCs w:val="20"/>
        </w:rPr>
        <w:t xml:space="preserve"> </w:t>
      </w:r>
      <w:r w:rsidR="009E249F" w:rsidRPr="009E249F">
        <w:rPr>
          <w:i/>
          <w:iCs/>
          <w:sz w:val="20"/>
          <w:szCs w:val="20"/>
        </w:rPr>
        <w:t>the value N (comb size) and</w:t>
      </w:r>
      <w:r w:rsidR="00A0383B" w:rsidRPr="00A0383B">
        <w:rPr>
          <w:i/>
          <w:iCs/>
          <w:sz w:val="20"/>
          <w:szCs w:val="20"/>
        </w:rPr>
        <w:t xml:space="preserve"> the number M of SL-PRS symbols </w:t>
      </w:r>
      <w:r w:rsidR="00593C6C">
        <w:rPr>
          <w:i/>
          <w:iCs/>
          <w:sz w:val="20"/>
          <w:szCs w:val="20"/>
        </w:rPr>
        <w:t>of a SL-PRS resource</w:t>
      </w:r>
      <w:r w:rsidR="00A0383B" w:rsidRPr="00A0383B">
        <w:rPr>
          <w:i/>
          <w:iCs/>
          <w:sz w:val="20"/>
          <w:szCs w:val="20"/>
        </w:rPr>
        <w:t xml:space="preserve"> </w:t>
      </w:r>
      <w:r w:rsidR="009E249F">
        <w:rPr>
          <w:i/>
          <w:iCs/>
          <w:sz w:val="20"/>
          <w:szCs w:val="20"/>
        </w:rPr>
        <w:t xml:space="preserve">within a slot </w:t>
      </w:r>
      <w:r w:rsidR="00A0383B" w:rsidRPr="00A0383B">
        <w:rPr>
          <w:i/>
          <w:iCs/>
          <w:sz w:val="20"/>
          <w:szCs w:val="20"/>
        </w:rPr>
        <w:t>excluding the symbol(s) used for AGC training / Rx</w:t>
      </w:r>
      <w:r w:rsidR="004171E3">
        <w:rPr>
          <w:i/>
          <w:iCs/>
          <w:sz w:val="20"/>
          <w:szCs w:val="20"/>
        </w:rPr>
        <w:t>-</w:t>
      </w:r>
      <w:r w:rsidR="00A0383B" w:rsidRPr="00A0383B">
        <w:rPr>
          <w:i/>
          <w:iCs/>
          <w:sz w:val="20"/>
          <w:szCs w:val="20"/>
        </w:rPr>
        <w:t>Tx Turnaround</w:t>
      </w:r>
      <w:r>
        <w:rPr>
          <w:i/>
          <w:iCs/>
          <w:sz w:val="20"/>
          <w:szCs w:val="20"/>
        </w:rPr>
        <w:t xml:space="preserve">, </w:t>
      </w:r>
    </w:p>
    <w:p w14:paraId="6F59D432" w14:textId="2F2E9E7D" w:rsidR="006179AD" w:rsidRDefault="006179AD" w:rsidP="00A0383B">
      <w:pPr>
        <w:pStyle w:val="aff2"/>
        <w:numPr>
          <w:ilvl w:val="0"/>
          <w:numId w:val="15"/>
        </w:numPr>
        <w:snapToGrid w:val="0"/>
        <w:spacing w:beforeLines="50" w:before="180" w:afterLines="50"/>
        <w:jc w:val="both"/>
        <w:rPr>
          <w:i/>
          <w:sz w:val="20"/>
        </w:rPr>
      </w:pPr>
      <w:r>
        <w:rPr>
          <w:i/>
          <w:sz w:val="20"/>
        </w:rPr>
        <w:t>The</w:t>
      </w:r>
      <w:r>
        <w:rPr>
          <w:i/>
          <w:sz w:val="20"/>
        </w:rPr>
        <w:t xml:space="preserve"> number of SL</w:t>
      </w:r>
      <w:r>
        <w:rPr>
          <w:i/>
          <w:sz w:val="20"/>
        </w:rPr>
        <w:t>-PRS symbols can be {1, 2, 4, 6, 12}</w:t>
      </w:r>
    </w:p>
    <w:p w14:paraId="658D468E" w14:textId="3EDAEA43" w:rsidR="00C36F3A" w:rsidRDefault="00C36F3A" w:rsidP="00A05538">
      <w:pPr>
        <w:pStyle w:val="aff2"/>
        <w:numPr>
          <w:ilvl w:val="1"/>
          <w:numId w:val="15"/>
        </w:numPr>
        <w:snapToGrid w:val="0"/>
        <w:spacing w:beforeLines="50" w:before="180" w:afterLines="50"/>
        <w:jc w:val="both"/>
        <w:rPr>
          <w:i/>
          <w:sz w:val="20"/>
        </w:rPr>
      </w:pPr>
      <w:r>
        <w:rPr>
          <w:i/>
          <w:sz w:val="20"/>
        </w:rPr>
        <w:t>One symbol SL-PRS excluding the AGC-symbol and Gap symbol should be supported</w:t>
      </w:r>
    </w:p>
    <w:p w14:paraId="77D88FCC" w14:textId="473CCD04" w:rsidR="00C36F3A" w:rsidRDefault="00C36F3A" w:rsidP="00C36F3A">
      <w:pPr>
        <w:pStyle w:val="aff2"/>
        <w:numPr>
          <w:ilvl w:val="0"/>
          <w:numId w:val="15"/>
        </w:numPr>
        <w:snapToGrid w:val="0"/>
        <w:spacing w:beforeLines="50" w:before="180" w:afterLines="50"/>
        <w:jc w:val="both"/>
        <w:rPr>
          <w:i/>
          <w:sz w:val="20"/>
        </w:rPr>
      </w:pPr>
      <w:r>
        <w:rPr>
          <w:i/>
          <w:sz w:val="20"/>
        </w:rPr>
        <w:t>Consider Comb size N &gt; 12, e.g. N = 16, 24, 32 and 64</w:t>
      </w:r>
    </w:p>
    <w:p w14:paraId="0291F331" w14:textId="77777777" w:rsidR="00A63C13" w:rsidRPr="00FD4EF6" w:rsidRDefault="00A63C13" w:rsidP="000C682A">
      <w:pPr>
        <w:pStyle w:val="aff2"/>
        <w:snapToGrid w:val="0"/>
        <w:spacing w:beforeLines="50" w:before="180" w:afterLines="50"/>
        <w:ind w:left="1140"/>
        <w:jc w:val="both"/>
        <w:rPr>
          <w:i/>
          <w:sz w:val="20"/>
        </w:rPr>
      </w:pPr>
    </w:p>
    <w:p w14:paraId="4A11799F" w14:textId="2A13D6C4"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CF3D61">
        <w:rPr>
          <w:rFonts w:ascii="Arial" w:hAnsi="Arial" w:cs="Arial"/>
        </w:rPr>
        <w:t>1</w:t>
      </w:r>
      <w:r>
        <w:rPr>
          <w:rFonts w:ascii="Arial" w:hAnsi="Arial" w:cs="Arial"/>
        </w:rPr>
        <w:t>.</w:t>
      </w:r>
      <w:r w:rsidR="00C36F3A">
        <w:rPr>
          <w:rFonts w:ascii="Arial" w:hAnsi="Arial" w:cs="Arial"/>
        </w:rPr>
        <w:t>3</w:t>
      </w:r>
      <w:r>
        <w:rPr>
          <w:rFonts w:ascii="Arial" w:hAnsi="Arial" w:cs="Arial"/>
        </w:rPr>
        <w:t xml:space="preserve"> AGC</w:t>
      </w:r>
      <w:r w:rsidR="00002D22">
        <w:rPr>
          <w:rFonts w:ascii="Arial" w:hAnsi="Arial" w:cs="Arial"/>
        </w:rPr>
        <w:t xml:space="preserve"> and Rx-Tx </w:t>
      </w:r>
      <w:r w:rsidR="00832EC6">
        <w:rPr>
          <w:rFonts w:ascii="Arial" w:hAnsi="Arial" w:cs="Arial"/>
        </w:rPr>
        <w:t>turnaround</w:t>
      </w:r>
      <w:r>
        <w:rPr>
          <w:rFonts w:ascii="Arial" w:hAnsi="Arial" w:cs="Arial"/>
        </w:rPr>
        <w:t xml:space="preserve"> design</w:t>
      </w:r>
    </w:p>
    <w:p w14:paraId="1B73B3FD" w14:textId="77777777" w:rsidR="003E7BA5" w:rsidRDefault="00CD2045">
      <w:pPr>
        <w:autoSpaceDE w:val="0"/>
        <w:autoSpaceDN w:val="0"/>
        <w:adjustRightInd w:val="0"/>
        <w:snapToGrid w:val="0"/>
        <w:spacing w:beforeLines="50" w:before="180" w:afterLines="50" w:after="180"/>
        <w:jc w:val="both"/>
        <w:rPr>
          <w:sz w:val="20"/>
          <w:szCs w:val="20"/>
        </w:rPr>
      </w:pPr>
      <w:r>
        <w:rPr>
          <w:rFonts w:hint="eastAsia"/>
          <w:sz w:val="20"/>
          <w:szCs w:val="20"/>
        </w:rPr>
        <w:t>F</w:t>
      </w:r>
      <w:r>
        <w:rPr>
          <w:sz w:val="20"/>
          <w:szCs w:val="20"/>
        </w:rPr>
        <w:t>or AGC and Rx-Tx turnaround, the following proposal was discussed during RAN1#110b-e but not agreed due to the lack of time.</w:t>
      </w:r>
    </w:p>
    <w:tbl>
      <w:tblPr>
        <w:tblStyle w:val="afc"/>
        <w:tblW w:w="0" w:type="auto"/>
        <w:tblLook w:val="04A0" w:firstRow="1" w:lastRow="0" w:firstColumn="1" w:lastColumn="0" w:noHBand="0" w:noVBand="1"/>
      </w:tblPr>
      <w:tblGrid>
        <w:gridCol w:w="9350"/>
      </w:tblGrid>
      <w:tr w:rsidR="003E7BA5" w14:paraId="5A9D2351" w14:textId="77777777" w:rsidTr="003E7BA5">
        <w:tc>
          <w:tcPr>
            <w:tcW w:w="9350" w:type="dxa"/>
          </w:tcPr>
          <w:p w14:paraId="40CCA19D" w14:textId="77777777" w:rsidR="003E7BA5" w:rsidRPr="007349EE" w:rsidRDefault="003E7BA5" w:rsidP="003E7BA5">
            <w:pPr>
              <w:snapToGrid w:val="0"/>
              <w:rPr>
                <w:b/>
                <w:sz w:val="20"/>
                <w:u w:val="single"/>
              </w:rPr>
            </w:pPr>
            <w:r w:rsidRPr="007349EE">
              <w:rPr>
                <w:b/>
                <w:sz w:val="20"/>
                <w:u w:val="single"/>
              </w:rPr>
              <w:t>[ONLINE] Feature Lead Proposal 4.1.3-v2</w:t>
            </w:r>
          </w:p>
          <w:p w14:paraId="0560E06D" w14:textId="77777777" w:rsidR="003E7BA5" w:rsidRPr="0023133B" w:rsidRDefault="003E7BA5" w:rsidP="003E7BA5">
            <w:pPr>
              <w:overflowPunct w:val="0"/>
              <w:autoSpaceDE w:val="0"/>
              <w:autoSpaceDN w:val="0"/>
              <w:adjustRightInd w:val="0"/>
              <w:snapToGrid w:val="0"/>
              <w:ind w:left="284"/>
              <w:jc w:val="both"/>
              <w:textAlignment w:val="baseline"/>
              <w:rPr>
                <w:rFonts w:eastAsia="Times New Roman"/>
                <w:sz w:val="20"/>
                <w:szCs w:val="20"/>
                <w:lang w:eastAsia="en-US"/>
              </w:rPr>
            </w:pPr>
            <w:r w:rsidRPr="0023133B">
              <w:rPr>
                <w:rFonts w:eastAsia="Times New Roman"/>
                <w:sz w:val="20"/>
                <w:szCs w:val="20"/>
                <w:lang w:eastAsia="en-US"/>
              </w:rPr>
              <w:t xml:space="preserve">At least for the dedicated SL-PRS resource pool, and assuming a SL-PRS resource with contiguous symbols,  </w:t>
            </w:r>
          </w:p>
          <w:p w14:paraId="708E67A6" w14:textId="77777777" w:rsidR="003E7BA5" w:rsidRPr="0023133B" w:rsidRDefault="003E7BA5" w:rsidP="003E7BA5">
            <w:pPr>
              <w:numPr>
                <w:ilvl w:val="0"/>
                <w:numId w:val="32"/>
              </w:numPr>
              <w:snapToGrid w:val="0"/>
              <w:ind w:left="880"/>
              <w:jc w:val="both"/>
              <w:rPr>
                <w:rFonts w:eastAsia="Times New Roman"/>
                <w:sz w:val="20"/>
                <w:szCs w:val="20"/>
                <w:lang w:eastAsia="en-US"/>
              </w:rPr>
            </w:pPr>
            <w:r w:rsidRPr="0023133B">
              <w:rPr>
                <w:rFonts w:eastAsia="Times New Roman"/>
                <w:sz w:val="20"/>
                <w:szCs w:val="20"/>
                <w:lang w:eastAsia="en-US"/>
              </w:rPr>
              <w:t>With regards to AGC training</w:t>
            </w:r>
          </w:p>
          <w:p w14:paraId="222B3209" w14:textId="77777777" w:rsidR="003E7BA5" w:rsidRPr="0023133B" w:rsidRDefault="003E7BA5" w:rsidP="003E7BA5">
            <w:pPr>
              <w:numPr>
                <w:ilvl w:val="1"/>
                <w:numId w:val="32"/>
              </w:numPr>
              <w:snapToGrid w:val="0"/>
              <w:jc w:val="both"/>
              <w:rPr>
                <w:rFonts w:eastAsia="Times New Roman"/>
                <w:sz w:val="20"/>
                <w:szCs w:val="20"/>
                <w:lang w:eastAsia="en-US"/>
              </w:rPr>
            </w:pPr>
            <w:r w:rsidRPr="0023133B">
              <w:rPr>
                <w:rFonts w:eastAsia="Times New Roman"/>
                <w:sz w:val="20"/>
                <w:szCs w:val="20"/>
                <w:lang w:eastAsia="en-US"/>
              </w:rPr>
              <w:t xml:space="preserve">One symbol preceding </w:t>
            </w:r>
            <w:r w:rsidRPr="0023133B">
              <w:rPr>
                <w:rFonts w:eastAsia="Times New Roman"/>
                <w:sz w:val="20"/>
                <w:szCs w:val="20"/>
                <w:lang w:val="en-GB" w:eastAsia="en-US"/>
              </w:rPr>
              <w:t>a SL-PRS resource</w:t>
            </w:r>
            <w:r w:rsidRPr="0023133B">
              <w:rPr>
                <w:rFonts w:eastAsia="Times New Roman"/>
                <w:strike/>
                <w:sz w:val="20"/>
                <w:szCs w:val="20"/>
                <w:lang w:eastAsia="en-US"/>
              </w:rPr>
              <w:t xml:space="preserve"> </w:t>
            </w:r>
            <w:r w:rsidRPr="0023133B">
              <w:rPr>
                <w:rFonts w:eastAsia="Times New Roman"/>
                <w:sz w:val="20"/>
                <w:szCs w:val="20"/>
                <w:lang w:eastAsia="en-US"/>
              </w:rPr>
              <w:t xml:space="preserve">can be used </w:t>
            </w:r>
          </w:p>
          <w:p w14:paraId="6E2B37F1" w14:textId="77777777" w:rsidR="003E7BA5" w:rsidRPr="0023133B" w:rsidRDefault="003E7BA5" w:rsidP="003E7BA5">
            <w:pPr>
              <w:numPr>
                <w:ilvl w:val="0"/>
                <w:numId w:val="32"/>
              </w:numPr>
              <w:snapToGrid w:val="0"/>
              <w:ind w:left="880"/>
              <w:jc w:val="both"/>
              <w:rPr>
                <w:rFonts w:eastAsia="Times New Roman"/>
                <w:sz w:val="20"/>
                <w:szCs w:val="20"/>
                <w:lang w:eastAsia="en-US"/>
              </w:rPr>
            </w:pPr>
            <w:r w:rsidRPr="0023133B">
              <w:rPr>
                <w:rFonts w:eastAsia="Times New Roman"/>
                <w:sz w:val="20"/>
                <w:szCs w:val="20"/>
                <w:lang w:eastAsia="en-US"/>
              </w:rPr>
              <w:t>With regards to Rx/Tx turnaround</w:t>
            </w:r>
          </w:p>
          <w:p w14:paraId="0B0E0CFE" w14:textId="77777777" w:rsidR="003E7BA5" w:rsidRPr="0023133B" w:rsidRDefault="003E7BA5" w:rsidP="003E7BA5">
            <w:pPr>
              <w:numPr>
                <w:ilvl w:val="1"/>
                <w:numId w:val="32"/>
              </w:numPr>
              <w:snapToGrid w:val="0"/>
              <w:jc w:val="both"/>
              <w:rPr>
                <w:rFonts w:eastAsia="Times New Roman"/>
                <w:sz w:val="20"/>
                <w:szCs w:val="20"/>
                <w:lang w:eastAsia="en-US"/>
              </w:rPr>
            </w:pPr>
            <w:r w:rsidRPr="0023133B">
              <w:rPr>
                <w:rFonts w:eastAsia="Times New Roman"/>
                <w:sz w:val="20"/>
                <w:szCs w:val="20"/>
                <w:lang w:eastAsia="en-US"/>
              </w:rPr>
              <w:t xml:space="preserve">One symbol after a </w:t>
            </w:r>
            <w:r w:rsidRPr="0023133B">
              <w:rPr>
                <w:rFonts w:eastAsia="Times New Roman"/>
                <w:sz w:val="20"/>
                <w:szCs w:val="20"/>
                <w:lang w:val="en-GB" w:eastAsia="en-US"/>
              </w:rPr>
              <w:t>SL-PRS resource</w:t>
            </w:r>
            <w:r w:rsidRPr="0023133B">
              <w:rPr>
                <w:rFonts w:eastAsia="Times New Roman"/>
                <w:strike/>
                <w:sz w:val="20"/>
                <w:szCs w:val="20"/>
                <w:lang w:eastAsia="en-US"/>
              </w:rPr>
              <w:t xml:space="preserve"> </w:t>
            </w:r>
            <w:r w:rsidRPr="0023133B">
              <w:rPr>
                <w:rFonts w:eastAsia="Times New Roman"/>
                <w:sz w:val="20"/>
                <w:szCs w:val="20"/>
                <w:lang w:eastAsia="en-US"/>
              </w:rPr>
              <w:t>can be used</w:t>
            </w:r>
          </w:p>
          <w:p w14:paraId="35152A3D" w14:textId="77777777" w:rsidR="003E7BA5" w:rsidRPr="0023133B" w:rsidRDefault="003E7BA5" w:rsidP="003E7BA5">
            <w:pPr>
              <w:numPr>
                <w:ilvl w:val="1"/>
                <w:numId w:val="32"/>
              </w:numPr>
              <w:snapToGrid w:val="0"/>
              <w:jc w:val="both"/>
              <w:rPr>
                <w:rFonts w:eastAsia="Times New Roman"/>
                <w:sz w:val="20"/>
                <w:szCs w:val="20"/>
                <w:lang w:eastAsia="en-US"/>
              </w:rPr>
            </w:pPr>
            <w:r w:rsidRPr="0023133B">
              <w:rPr>
                <w:rFonts w:eastAsia="Times New Roman"/>
                <w:sz w:val="20"/>
                <w:szCs w:val="20"/>
                <w:lang w:eastAsia="en-US"/>
              </w:rPr>
              <w:t>FFS: Discuss further scenarios that this may not be needed (e.g. SL-TDOA where a UE receives only)</w:t>
            </w:r>
          </w:p>
          <w:p w14:paraId="08024852" w14:textId="77777777" w:rsidR="003E7BA5" w:rsidRPr="001C002F" w:rsidRDefault="003E7BA5" w:rsidP="001C002F">
            <w:pPr>
              <w:numPr>
                <w:ilvl w:val="0"/>
                <w:numId w:val="32"/>
              </w:numPr>
              <w:snapToGrid w:val="0"/>
              <w:ind w:left="880"/>
              <w:jc w:val="both"/>
              <w:rPr>
                <w:rFonts w:eastAsia="Times New Roman"/>
                <w:sz w:val="20"/>
                <w:szCs w:val="20"/>
                <w:lang w:eastAsia="en-US"/>
              </w:rPr>
            </w:pPr>
            <w:r w:rsidRPr="0023133B">
              <w:rPr>
                <w:rFonts w:eastAsia="Times New Roman"/>
                <w:sz w:val="20"/>
                <w:szCs w:val="20"/>
                <w:lang w:eastAsia="en-US"/>
              </w:rPr>
              <w:t xml:space="preserve">Note: Multiple AGC and Rx/Tx turnaround time(s) can be considered if SL-PRS transmissions from the same or different UEs are multiplexed in a TDM manner within a slot. Such discussions will take place as we progress more on the SL-PRS structure and slot format. </w:t>
            </w:r>
          </w:p>
        </w:tc>
      </w:tr>
    </w:tbl>
    <w:p w14:paraId="5960B6BC" w14:textId="70C0A0C3" w:rsidR="003E7BA5" w:rsidRDefault="0087107D">
      <w:pPr>
        <w:autoSpaceDE w:val="0"/>
        <w:autoSpaceDN w:val="0"/>
        <w:adjustRightInd w:val="0"/>
        <w:snapToGrid w:val="0"/>
        <w:spacing w:beforeLines="50" w:before="180" w:afterLines="50" w:after="180"/>
        <w:jc w:val="both"/>
        <w:rPr>
          <w:sz w:val="20"/>
          <w:szCs w:val="20"/>
        </w:rPr>
      </w:pPr>
      <w:r>
        <w:rPr>
          <w:sz w:val="20"/>
          <w:szCs w:val="20"/>
        </w:rPr>
        <w:t>Firstly,</w:t>
      </w:r>
      <w:r w:rsidR="00C66D49">
        <w:rPr>
          <w:sz w:val="20"/>
          <w:szCs w:val="20"/>
        </w:rPr>
        <w:t xml:space="preserve"> </w:t>
      </w:r>
      <w:r>
        <w:rPr>
          <w:sz w:val="20"/>
          <w:szCs w:val="20"/>
        </w:rPr>
        <w:t>o</w:t>
      </w:r>
      <w:r w:rsidR="00C66D49">
        <w:rPr>
          <w:sz w:val="20"/>
          <w:szCs w:val="20"/>
        </w:rPr>
        <w:t xml:space="preserve">nly one </w:t>
      </w:r>
      <w:r w:rsidR="00C66D49" w:rsidRPr="00B75FAD">
        <w:rPr>
          <w:rFonts w:eastAsia="Times New Roman"/>
          <w:sz w:val="20"/>
          <w:szCs w:val="20"/>
          <w:lang w:eastAsia="en-US"/>
        </w:rPr>
        <w:t>AGC training</w:t>
      </w:r>
      <w:r w:rsidR="00C66D49">
        <w:rPr>
          <w:rFonts w:eastAsia="Times New Roman"/>
          <w:sz w:val="20"/>
          <w:szCs w:val="20"/>
          <w:lang w:eastAsia="en-US"/>
        </w:rPr>
        <w:t xml:space="preserve"> symbol and one </w:t>
      </w:r>
      <w:r w:rsidR="00C66D49" w:rsidRPr="00B75FAD">
        <w:rPr>
          <w:rFonts w:eastAsia="Times New Roman"/>
          <w:sz w:val="20"/>
          <w:szCs w:val="20"/>
          <w:lang w:eastAsia="en-US"/>
        </w:rPr>
        <w:t>Rx/Tx turnaround</w:t>
      </w:r>
      <w:r w:rsidR="00C66D49">
        <w:rPr>
          <w:rFonts w:eastAsia="Times New Roman"/>
          <w:sz w:val="20"/>
          <w:szCs w:val="20"/>
          <w:lang w:eastAsia="en-US"/>
        </w:rPr>
        <w:t xml:space="preserve"> symbol are needed per SL-PRS resource, and multiple </w:t>
      </w:r>
      <w:r w:rsidR="00C66D49" w:rsidRPr="00B75FAD">
        <w:rPr>
          <w:rFonts w:eastAsia="Times New Roman"/>
          <w:sz w:val="20"/>
          <w:szCs w:val="20"/>
          <w:lang w:eastAsia="en-US"/>
        </w:rPr>
        <w:t xml:space="preserve">AGC and Rx/Tx turnaround time(s) </w:t>
      </w:r>
      <w:r w:rsidR="00C66D49">
        <w:rPr>
          <w:rFonts w:eastAsia="Times New Roman"/>
          <w:sz w:val="20"/>
          <w:szCs w:val="20"/>
          <w:lang w:eastAsia="en-US"/>
        </w:rPr>
        <w:t>correspond to multiple SL-PRS resources.</w:t>
      </w:r>
    </w:p>
    <w:p w14:paraId="6E4F421B" w14:textId="4DAE8458" w:rsidR="00DA610C" w:rsidRDefault="00BE1760">
      <w:pPr>
        <w:autoSpaceDE w:val="0"/>
        <w:autoSpaceDN w:val="0"/>
        <w:adjustRightInd w:val="0"/>
        <w:snapToGrid w:val="0"/>
        <w:spacing w:beforeLines="50" w:before="180" w:afterLines="50" w:after="180"/>
        <w:jc w:val="both"/>
        <w:rPr>
          <w:sz w:val="20"/>
          <w:szCs w:val="20"/>
        </w:rPr>
      </w:pPr>
      <w:r>
        <w:rPr>
          <w:sz w:val="20"/>
          <w:szCs w:val="20"/>
        </w:rPr>
        <w:t>If one AGC symbol before SL-PRS exists, the symbol of AGC can be a duplication of a SL-PRS symbol. In SL communication, AGC symbol which locates in the first symbol of each slot simply repeats the second symbol. According to previous agreement, both fully staggered and partially staggered SL-PRS are prioritized. It is common understanding that the more REs SL-PRS can occupy, the higher the SL positioning accuracy. For transmission SL-PRS with partially staggered frequency pattern (as shown in Figure 2.</w:t>
      </w:r>
      <w:r w:rsidR="0087107D">
        <w:rPr>
          <w:sz w:val="20"/>
          <w:szCs w:val="20"/>
        </w:rPr>
        <w:t>1</w:t>
      </w:r>
      <w:r>
        <w:rPr>
          <w:sz w:val="20"/>
          <w:szCs w:val="20"/>
        </w:rPr>
        <w:t xml:space="preserve">-1), AGC symbol can be a duplication of the expected symbol next to the final symbol of transmission SL-PRS. If so, extra gains can be expected. For example, </w:t>
      </w:r>
      <w:r>
        <w:rPr>
          <w:rFonts w:hint="eastAsia"/>
          <w:sz w:val="20"/>
          <w:szCs w:val="20"/>
        </w:rPr>
        <w:t>s</w:t>
      </w:r>
      <w:r>
        <w:rPr>
          <w:sz w:val="20"/>
          <w:szCs w:val="20"/>
        </w:rPr>
        <w:t>uppose c</w:t>
      </w:r>
      <w:r>
        <w:rPr>
          <w:rFonts w:eastAsia="Batang" w:cs="CG Times (WN)"/>
          <w:sz w:val="20"/>
          <w:szCs w:val="20"/>
          <w:lang w:val="en-GB" w:eastAsia="en-US"/>
        </w:rPr>
        <w:t>omb-N SL-PRS occupying M symbol, UE can coherently merge AGC symbol and SL-PRS symbol to obtain equivalent signals with more frequency resources.</w:t>
      </w:r>
      <w:r>
        <w:rPr>
          <w:rFonts w:hint="eastAsia"/>
          <w:sz w:val="20"/>
          <w:szCs w:val="20"/>
        </w:rPr>
        <w:t xml:space="preserve"> </w:t>
      </w:r>
      <w:r>
        <w:rPr>
          <w:sz w:val="20"/>
          <w:szCs w:val="20"/>
        </w:rPr>
        <w:t>Similarly, for transmission SL-PRS with fully staggered frequency pattern (as shown in Figure 2.</w:t>
      </w:r>
      <w:r w:rsidR="0087107D">
        <w:rPr>
          <w:sz w:val="20"/>
          <w:szCs w:val="20"/>
        </w:rPr>
        <w:t>1</w:t>
      </w:r>
      <w:r>
        <w:rPr>
          <w:sz w:val="20"/>
          <w:szCs w:val="20"/>
        </w:rPr>
        <w:t>-2), AGC symbol is a duplication of</w:t>
      </w:r>
      <w:r>
        <w:t xml:space="preserve"> </w:t>
      </w:r>
      <w:r>
        <w:rPr>
          <w:sz w:val="20"/>
          <w:szCs w:val="20"/>
        </w:rPr>
        <w:t>the expected symbol next to the final symbol which is also the first symbol of fully staggered SL-PRS.</w:t>
      </w:r>
    </w:p>
    <w:tbl>
      <w:tblPr>
        <w:tblStyle w:val="afc"/>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A610C" w14:paraId="4A133C63" w14:textId="77777777">
        <w:tc>
          <w:tcPr>
            <w:tcW w:w="4675" w:type="dxa"/>
            <w:tcBorders>
              <w:top w:val="single" w:sz="4" w:space="0" w:color="auto"/>
              <w:left w:val="single" w:sz="4" w:space="0" w:color="auto"/>
              <w:bottom w:val="single" w:sz="4" w:space="0" w:color="auto"/>
            </w:tcBorders>
          </w:tcPr>
          <w:p w14:paraId="71A7F0A7" w14:textId="77777777" w:rsidR="00DA610C" w:rsidRDefault="00BE1760">
            <w:pPr>
              <w:autoSpaceDE w:val="0"/>
              <w:autoSpaceDN w:val="0"/>
              <w:adjustRightInd w:val="0"/>
              <w:snapToGrid w:val="0"/>
              <w:spacing w:beforeLines="50" w:before="180" w:afterLines="50" w:after="180"/>
              <w:jc w:val="center"/>
              <w:rPr>
                <w:bCs/>
                <w:sz w:val="20"/>
                <w:szCs w:val="20"/>
              </w:rPr>
            </w:pPr>
            <w:r>
              <w:rPr>
                <w:noProof/>
              </w:rPr>
              <w:lastRenderedPageBreak/>
              <w:drawing>
                <wp:inline distT="0" distB="0" distL="0" distR="0" wp14:anchorId="66D14B7B" wp14:editId="0649ACB1">
                  <wp:extent cx="2243138" cy="1886276"/>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264209" cy="1903995"/>
                          </a:xfrm>
                          <a:prstGeom prst="rect">
                            <a:avLst/>
                          </a:prstGeom>
                        </pic:spPr>
                      </pic:pic>
                    </a:graphicData>
                  </a:graphic>
                </wp:inline>
              </w:drawing>
            </w:r>
          </w:p>
          <w:p w14:paraId="52C837C5" w14:textId="580591AD" w:rsidR="00DA610C" w:rsidRDefault="00BE1760">
            <w:pPr>
              <w:autoSpaceDE w:val="0"/>
              <w:autoSpaceDN w:val="0"/>
              <w:adjustRightInd w:val="0"/>
              <w:snapToGrid w:val="0"/>
              <w:spacing w:beforeLines="50" w:before="180" w:afterLines="50" w:after="180"/>
              <w:jc w:val="center"/>
              <w:rPr>
                <w:bCs/>
                <w:sz w:val="20"/>
                <w:szCs w:val="20"/>
              </w:rPr>
            </w:pPr>
            <w:r>
              <w:rPr>
                <w:bCs/>
                <w:sz w:val="20"/>
                <w:szCs w:val="20"/>
              </w:rPr>
              <w:t>Figure 2.</w:t>
            </w:r>
            <w:r w:rsidR="0087107D">
              <w:rPr>
                <w:bCs/>
                <w:sz w:val="20"/>
                <w:szCs w:val="20"/>
              </w:rPr>
              <w:t>1</w:t>
            </w:r>
            <w:r>
              <w:rPr>
                <w:bCs/>
                <w:sz w:val="20"/>
                <w:szCs w:val="20"/>
              </w:rPr>
              <w:t xml:space="preserve">-1: AGC design, where multiple SL-PRS with partially staggered pattern (comb-4, </w:t>
            </w:r>
            <w:r>
              <w:rPr>
                <w:b/>
                <w:sz w:val="20"/>
                <w:szCs w:val="20"/>
              </w:rPr>
              <w:t>2 symbols</w:t>
            </w:r>
            <w:r>
              <w:rPr>
                <w:bCs/>
                <w:sz w:val="20"/>
                <w:szCs w:val="20"/>
              </w:rPr>
              <w:t>)</w:t>
            </w:r>
          </w:p>
        </w:tc>
        <w:tc>
          <w:tcPr>
            <w:tcW w:w="4675" w:type="dxa"/>
            <w:tcBorders>
              <w:top w:val="single" w:sz="4" w:space="0" w:color="auto"/>
              <w:bottom w:val="single" w:sz="4" w:space="0" w:color="auto"/>
              <w:right w:val="single" w:sz="4" w:space="0" w:color="auto"/>
            </w:tcBorders>
          </w:tcPr>
          <w:p w14:paraId="66105934" w14:textId="77777777" w:rsidR="00DA610C" w:rsidRDefault="00BE1760">
            <w:pPr>
              <w:pStyle w:val="ListParagraph1"/>
              <w:snapToGrid w:val="0"/>
              <w:spacing w:beforeLines="50" w:before="180" w:afterLines="50" w:after="180"/>
              <w:ind w:firstLineChars="0" w:firstLine="0"/>
              <w:jc w:val="center"/>
              <w:rPr>
                <w:b/>
              </w:rPr>
            </w:pPr>
            <w:r>
              <w:rPr>
                <w:noProof/>
              </w:rPr>
              <w:drawing>
                <wp:inline distT="0" distB="0" distL="0" distR="0" wp14:anchorId="5372B134" wp14:editId="72050CDA">
                  <wp:extent cx="2205038" cy="1642594"/>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215176" cy="1650146"/>
                          </a:xfrm>
                          <a:prstGeom prst="rect">
                            <a:avLst/>
                          </a:prstGeom>
                        </pic:spPr>
                      </pic:pic>
                    </a:graphicData>
                  </a:graphic>
                </wp:inline>
              </w:drawing>
            </w:r>
          </w:p>
          <w:p w14:paraId="1C3B1B86" w14:textId="77777777" w:rsidR="00DA610C" w:rsidRDefault="00DA610C">
            <w:pPr>
              <w:pStyle w:val="ListParagraph1"/>
              <w:snapToGrid w:val="0"/>
              <w:spacing w:beforeLines="50" w:before="180" w:afterLines="50" w:after="180"/>
              <w:ind w:firstLineChars="0" w:firstLine="0"/>
              <w:jc w:val="center"/>
              <w:rPr>
                <w:sz w:val="20"/>
                <w:szCs w:val="20"/>
              </w:rPr>
            </w:pPr>
          </w:p>
          <w:p w14:paraId="229BB248" w14:textId="20DC1ACF" w:rsidR="00DA610C" w:rsidRDefault="00BE1760">
            <w:pPr>
              <w:pStyle w:val="ListParagraph1"/>
              <w:snapToGrid w:val="0"/>
              <w:spacing w:beforeLines="50" w:before="180" w:afterLines="50" w:after="180"/>
              <w:ind w:firstLineChars="0" w:firstLine="0"/>
              <w:jc w:val="center"/>
              <w:rPr>
                <w:sz w:val="20"/>
                <w:szCs w:val="20"/>
              </w:rPr>
            </w:pPr>
            <w:r>
              <w:rPr>
                <w:rFonts w:hint="eastAsia"/>
                <w:sz w:val="20"/>
                <w:szCs w:val="20"/>
              </w:rPr>
              <w:t>Fig</w:t>
            </w:r>
            <w:r>
              <w:rPr>
                <w:sz w:val="20"/>
                <w:szCs w:val="20"/>
              </w:rPr>
              <w:t>ure</w:t>
            </w:r>
            <w:r>
              <w:rPr>
                <w:rFonts w:hint="eastAsia"/>
                <w:sz w:val="20"/>
                <w:szCs w:val="20"/>
              </w:rPr>
              <w:t xml:space="preserve"> </w:t>
            </w:r>
            <w:r>
              <w:rPr>
                <w:sz w:val="20"/>
                <w:szCs w:val="20"/>
              </w:rPr>
              <w:t>2.</w:t>
            </w:r>
            <w:r w:rsidR="0087107D">
              <w:rPr>
                <w:sz w:val="20"/>
                <w:szCs w:val="20"/>
              </w:rPr>
              <w:t>1</w:t>
            </w:r>
            <w:r>
              <w:rPr>
                <w:sz w:val="20"/>
                <w:szCs w:val="20"/>
              </w:rPr>
              <w:t>-2:</w:t>
            </w:r>
            <w:r>
              <w:rPr>
                <w:rFonts w:hint="eastAsia"/>
                <w:sz w:val="20"/>
                <w:szCs w:val="20"/>
              </w:rPr>
              <w:t xml:space="preserve"> AGC design, where multiple SL-PRS with fully staggered pattern</w:t>
            </w:r>
            <w:r>
              <w:rPr>
                <w:sz w:val="20"/>
                <w:szCs w:val="20"/>
              </w:rPr>
              <w:t xml:space="preserve"> (comb-4)</w:t>
            </w:r>
            <w:r>
              <w:rPr>
                <w:rFonts w:hint="eastAsia"/>
                <w:sz w:val="20"/>
                <w:szCs w:val="20"/>
              </w:rPr>
              <w:t xml:space="preserve"> </w:t>
            </w:r>
          </w:p>
        </w:tc>
      </w:tr>
    </w:tbl>
    <w:p w14:paraId="5F007FB3" w14:textId="7AC96183" w:rsidR="00C66D49" w:rsidRDefault="00BE1760" w:rsidP="00B55449">
      <w:pPr>
        <w:autoSpaceDE w:val="0"/>
        <w:autoSpaceDN w:val="0"/>
        <w:adjustRightInd w:val="0"/>
        <w:snapToGrid w:val="0"/>
        <w:spacing w:beforeLines="50" w:before="180"/>
        <w:jc w:val="both"/>
        <w:rPr>
          <w:rFonts w:eastAsia="Times New Roman"/>
          <w:i/>
          <w:sz w:val="20"/>
          <w:szCs w:val="20"/>
          <w:lang w:eastAsia="en-US"/>
        </w:rPr>
      </w:pPr>
      <w:r w:rsidRPr="00C66D49">
        <w:rPr>
          <w:b/>
          <w:bCs/>
          <w:i/>
          <w:iCs/>
          <w:sz w:val="20"/>
          <w:szCs w:val="20"/>
        </w:rPr>
        <w:t xml:space="preserve">Proposal </w:t>
      </w:r>
      <w:r w:rsidR="00216D75">
        <w:rPr>
          <w:b/>
          <w:bCs/>
          <w:i/>
          <w:iCs/>
          <w:sz w:val="20"/>
          <w:szCs w:val="20"/>
        </w:rPr>
        <w:t>3</w:t>
      </w:r>
      <w:r w:rsidRPr="00C66D49">
        <w:rPr>
          <w:b/>
          <w:bCs/>
          <w:i/>
          <w:iCs/>
          <w:sz w:val="20"/>
          <w:szCs w:val="20"/>
        </w:rPr>
        <w:t>:</w:t>
      </w:r>
      <w:r w:rsidRPr="00C66D49">
        <w:rPr>
          <w:i/>
          <w:iCs/>
          <w:sz w:val="20"/>
          <w:szCs w:val="20"/>
        </w:rPr>
        <w:t xml:space="preserve"> </w:t>
      </w:r>
      <w:r w:rsidR="00C66D49" w:rsidRPr="00B55449">
        <w:rPr>
          <w:rFonts w:eastAsia="Times New Roman"/>
          <w:i/>
          <w:sz w:val="20"/>
          <w:szCs w:val="20"/>
          <w:lang w:eastAsia="en-US"/>
        </w:rPr>
        <w:t xml:space="preserve">At least for the dedicated SL-PRS resource pool, and assuming a SL-PRS resource with contiguous symbols,  </w:t>
      </w:r>
    </w:p>
    <w:p w14:paraId="312FD8C9" w14:textId="77777777" w:rsidR="00834C59" w:rsidRPr="00DD08D0" w:rsidRDefault="00834C59" w:rsidP="00DD08D0">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AGC training</w:t>
      </w:r>
    </w:p>
    <w:p w14:paraId="139C59EF" w14:textId="77777777" w:rsidR="00834C59" w:rsidRDefault="00834C59" w:rsidP="00DD08D0">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preceding </w:t>
      </w:r>
      <w:r w:rsidRPr="00DD08D0">
        <w:rPr>
          <w:rFonts w:eastAsia="Times New Roman"/>
          <w:i/>
          <w:sz w:val="20"/>
          <w:szCs w:val="20"/>
          <w:lang w:val="en-GB" w:eastAsia="en-US"/>
        </w:rPr>
        <w:t>a SL-PRS resource</w:t>
      </w:r>
      <w:r w:rsidRPr="00DD08D0">
        <w:rPr>
          <w:rFonts w:eastAsia="Times New Roman"/>
          <w:i/>
          <w:sz w:val="20"/>
          <w:szCs w:val="20"/>
          <w:lang w:eastAsia="en-US"/>
        </w:rPr>
        <w:t xml:space="preserve"> can be used </w:t>
      </w:r>
    </w:p>
    <w:p w14:paraId="7032E12A" w14:textId="5343BF5E" w:rsidR="00DD08D0" w:rsidRPr="00DD08D0" w:rsidRDefault="00DD08D0" w:rsidP="00DD08D0">
      <w:pPr>
        <w:pStyle w:val="aff2"/>
        <w:numPr>
          <w:ilvl w:val="1"/>
          <w:numId w:val="32"/>
        </w:numPr>
        <w:snapToGrid w:val="0"/>
        <w:spacing w:after="0"/>
        <w:ind w:hanging="357"/>
        <w:rPr>
          <w:rFonts w:eastAsia="Times New Roman"/>
          <w:i/>
          <w:sz w:val="20"/>
          <w:lang w:eastAsia="en-US"/>
        </w:rPr>
      </w:pPr>
      <w:r w:rsidRPr="00DD08D0">
        <w:rPr>
          <w:rFonts w:eastAsia="Times New Roman"/>
          <w:i/>
          <w:sz w:val="20"/>
          <w:lang w:eastAsia="en-US"/>
        </w:rPr>
        <w:t>AGC symbol is a duplication of the expected symbol next to the final symbol of fully/partially staggered SL-PRS</w:t>
      </w:r>
    </w:p>
    <w:p w14:paraId="6AF50310" w14:textId="77777777" w:rsidR="00834C59" w:rsidRPr="00DD08D0" w:rsidRDefault="00834C59" w:rsidP="00DD08D0">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Rx/Tx turnaround</w:t>
      </w:r>
    </w:p>
    <w:p w14:paraId="548371ED" w14:textId="1E49F566" w:rsidR="00834C59" w:rsidRPr="00DD08D0" w:rsidRDefault="00834C59" w:rsidP="00DD08D0">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after a </w:t>
      </w:r>
      <w:r w:rsidRPr="00DD08D0">
        <w:rPr>
          <w:rFonts w:eastAsia="Times New Roman"/>
          <w:i/>
          <w:sz w:val="20"/>
          <w:szCs w:val="20"/>
          <w:lang w:val="en-GB" w:eastAsia="en-US"/>
        </w:rPr>
        <w:t>SL-PRS resourc</w:t>
      </w:r>
      <w:r w:rsidR="0087107D">
        <w:rPr>
          <w:rFonts w:eastAsia="Times New Roman"/>
          <w:i/>
          <w:sz w:val="20"/>
          <w:szCs w:val="20"/>
          <w:lang w:val="en-GB" w:eastAsia="en-US"/>
        </w:rPr>
        <w:t xml:space="preserve">e </w:t>
      </w:r>
      <w:r w:rsidRPr="00DD08D0">
        <w:rPr>
          <w:rFonts w:eastAsia="Times New Roman"/>
          <w:i/>
          <w:sz w:val="20"/>
          <w:szCs w:val="20"/>
          <w:lang w:eastAsia="en-US"/>
        </w:rPr>
        <w:t>can be used</w:t>
      </w:r>
    </w:p>
    <w:p w14:paraId="31BC3E2E" w14:textId="77777777" w:rsidR="00A63C13" w:rsidRPr="00FD4EF6" w:rsidRDefault="00A63C13" w:rsidP="00FD4EF6">
      <w:pPr>
        <w:snapToGrid w:val="0"/>
        <w:spacing w:beforeLines="50" w:before="180" w:afterLines="50" w:after="180"/>
        <w:jc w:val="both"/>
        <w:rPr>
          <w:sz w:val="20"/>
        </w:rPr>
      </w:pPr>
    </w:p>
    <w:p w14:paraId="35DF1FCE" w14:textId="4CC3CD99" w:rsidR="00DA610C" w:rsidRDefault="00BE1760">
      <w:pPr>
        <w:pStyle w:val="2"/>
        <w:snapToGrid w:val="0"/>
        <w:spacing w:line="240" w:lineRule="auto"/>
        <w:rPr>
          <w:rFonts w:ascii="Times New Roman" w:hAnsi="Times New Roman"/>
        </w:rPr>
      </w:pPr>
      <w:r>
        <w:rPr>
          <w:rFonts w:ascii="Arial" w:hAnsi="Arial" w:cs="Arial"/>
          <w:sz w:val="24"/>
          <w:szCs w:val="24"/>
        </w:rPr>
        <w:t>2.</w:t>
      </w:r>
      <w:r w:rsidR="00CF3D61">
        <w:rPr>
          <w:rFonts w:ascii="Arial" w:hAnsi="Arial" w:cs="Arial"/>
          <w:sz w:val="24"/>
          <w:szCs w:val="24"/>
        </w:rPr>
        <w:t>2</w:t>
      </w:r>
      <w:r>
        <w:rPr>
          <w:rFonts w:ascii="Arial" w:hAnsi="Arial" w:cs="Arial"/>
          <w:sz w:val="24"/>
          <w:szCs w:val="24"/>
        </w:rPr>
        <w:t xml:space="preserve"> Power control for SL-PRS</w:t>
      </w:r>
    </w:p>
    <w:p w14:paraId="4BD3E9EB" w14:textId="7536BBE3" w:rsidR="00DA610C" w:rsidRDefault="00BE1760">
      <w:pPr>
        <w:autoSpaceDE w:val="0"/>
        <w:autoSpaceDN w:val="0"/>
        <w:adjustRightInd w:val="0"/>
        <w:snapToGrid w:val="0"/>
        <w:spacing w:beforeLines="50" w:before="180" w:afterLines="50" w:after="180"/>
        <w:jc w:val="both"/>
        <w:rPr>
          <w:sz w:val="20"/>
          <w:szCs w:val="20"/>
        </w:rPr>
      </w:pPr>
      <w:r>
        <w:rPr>
          <w:sz w:val="20"/>
          <w:szCs w:val="20"/>
        </w:rPr>
        <w:t>In TS 38.213 [</w:t>
      </w:r>
      <w:r w:rsidR="00216D75">
        <w:rPr>
          <w:sz w:val="20"/>
          <w:szCs w:val="20"/>
        </w:rPr>
        <w:t>3</w:t>
      </w:r>
      <w:r>
        <w:rPr>
          <w:sz w:val="20"/>
          <w:szCs w:val="20"/>
        </w:rPr>
        <w:t>], power control has been formulated for physical sidelink control channel (PSCCH) transmission and physical sidelink shared channel (PSSCH) transmission based on UE’s capability and pathloss. For example, the formula for a UE determines a power for a PSSCH transmission is as follows:</w:t>
      </w:r>
    </w:p>
    <w:p w14:paraId="1BC1AC2C" w14:textId="77777777" w:rsidR="00DA610C" w:rsidRPr="006C4842" w:rsidRDefault="00FC5CED">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MAX,CBR</m:t>
                </m:r>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00BE1760" w:rsidRPr="006C4842">
        <w:rPr>
          <w:sz w:val="20"/>
          <w:szCs w:val="20"/>
        </w:rPr>
        <w:t xml:space="preserve"> [dBm]</w:t>
      </w:r>
    </w:p>
    <w:p w14:paraId="0F272CE4" w14:textId="77536CA1" w:rsidR="00B60ACF" w:rsidRPr="006C4842" w:rsidRDefault="00B60ACF">
      <w:pPr>
        <w:autoSpaceDE w:val="0"/>
        <w:autoSpaceDN w:val="0"/>
        <w:adjustRightInd w:val="0"/>
        <w:snapToGrid w:val="0"/>
        <w:spacing w:beforeLines="50" w:before="180" w:afterLines="50" w:after="180"/>
        <w:jc w:val="both"/>
        <w:rPr>
          <w:sz w:val="20"/>
          <w:szCs w:val="20"/>
        </w:rPr>
      </w:pPr>
      <w:r w:rsidRPr="006C4842">
        <w:rPr>
          <w:sz w:val="20"/>
          <w:szCs w:val="20"/>
        </w:rPr>
        <w:t xml:space="preserve">Where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6C4842">
        <w:rPr>
          <w:sz w:val="20"/>
          <w:szCs w:val="20"/>
        </w:rPr>
        <w:t xml:space="preserve"> is </w:t>
      </w:r>
      <w:r w:rsidR="003969F4" w:rsidRPr="006C4842">
        <w:rPr>
          <w:sz w:val="20"/>
          <w:szCs w:val="20"/>
        </w:rPr>
        <w:t xml:space="preserve">UE’s maximum transmission power, which is dependent on the UE’s capability,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MAX,CBR</m:t>
            </m:r>
          </m:sub>
        </m:sSub>
      </m:oMath>
      <w:r w:rsidR="003969F4" w:rsidRPr="006C4842">
        <w:rPr>
          <w:sz w:val="20"/>
          <w:szCs w:val="20"/>
        </w:rPr>
        <w:t xml:space="preserve"> is the maximum transmission power determined by</w:t>
      </w:r>
      <w:r w:rsidR="003969F4" w:rsidRPr="006C4842">
        <w:rPr>
          <w:i/>
          <w:sz w:val="20"/>
          <w:szCs w:val="20"/>
        </w:rPr>
        <w:t xml:space="preserve"> sl-MaxTxPower </w:t>
      </w:r>
      <w:r w:rsidR="003969F4" w:rsidRPr="006C4842">
        <w:rPr>
          <w:sz w:val="20"/>
          <w:szCs w:val="20"/>
        </w:rPr>
        <w:t>based on a priority level of the SL</w:t>
      </w:r>
      <w:r w:rsidR="005B122B" w:rsidRPr="006C4842">
        <w:rPr>
          <w:sz w:val="20"/>
          <w:szCs w:val="20"/>
        </w:rPr>
        <w:t xml:space="preserve"> data</w:t>
      </w:r>
      <w:r w:rsidR="003969F4" w:rsidRPr="006C4842">
        <w:rPr>
          <w:sz w:val="20"/>
          <w:szCs w:val="20"/>
        </w:rPr>
        <w:t xml:space="preserve"> transmission and a channel busy ratio (CBR) range.</w:t>
      </w:r>
      <w:r w:rsidR="005B122B" w:rsidRPr="006C4842">
        <w:rPr>
          <w:sz w:val="20"/>
          <w:szCs w:val="20"/>
        </w:rPr>
        <w:t xml:space="preserve">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oMath>
      <w:r w:rsidR="005B122B" w:rsidRPr="006C4842">
        <w:rPr>
          <w:sz w:val="20"/>
          <w:szCs w:val="20"/>
        </w:rPr>
        <w:t xml:space="preserve"> and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005B122B" w:rsidRPr="006C4842">
        <w:rPr>
          <w:sz w:val="20"/>
          <w:szCs w:val="20"/>
        </w:rPr>
        <w:t xml:space="preserve"> are dependent on the DL pathloss and SL pathloss respectively.</w:t>
      </w:r>
    </w:p>
    <w:p w14:paraId="6FF6D89E" w14:textId="22547430" w:rsidR="00DA610C" w:rsidRPr="006C4842" w:rsidRDefault="00BE1760">
      <w:pPr>
        <w:autoSpaceDE w:val="0"/>
        <w:autoSpaceDN w:val="0"/>
        <w:adjustRightInd w:val="0"/>
        <w:snapToGrid w:val="0"/>
        <w:spacing w:beforeLines="50" w:before="180" w:afterLines="50" w:after="180"/>
        <w:jc w:val="both"/>
        <w:rPr>
          <w:sz w:val="20"/>
          <w:szCs w:val="20"/>
        </w:rPr>
      </w:pPr>
      <w:r w:rsidRPr="006C4842">
        <w:rPr>
          <w:sz w:val="20"/>
          <w:szCs w:val="20"/>
        </w:rPr>
        <w:t>For</w:t>
      </w:r>
      <w:r w:rsidR="005B122B" w:rsidRPr="006C4842">
        <w:rPr>
          <w:sz w:val="20"/>
          <w:szCs w:val="20"/>
        </w:rPr>
        <w:t xml:space="preserve"> SL</w:t>
      </w:r>
      <w:r w:rsidRPr="006C4842">
        <w:rPr>
          <w:sz w:val="20"/>
          <w:szCs w:val="20"/>
        </w:rPr>
        <w:t xml:space="preserve"> positioning purpose, anchor UEs transmit SL-PRS to a target UE, the target UE obtains the positioning measurements by measuring SL-PRS. Then, wireless dependent positioning methods can be used to calculate the target UE’s location. However, the transmit power and power control of the SL-PRS is still an open issue. The power of SL-PRS transmission may be different from S-SSB block, PSSCH, PSCCH or PSFCH, then the related discussion is needed for a specific power control formula and related parameters for SL-PRS transmission.</w:t>
      </w:r>
      <w:r w:rsidR="002D5C04" w:rsidRPr="006C4842">
        <w:rPr>
          <w:sz w:val="20"/>
          <w:szCs w:val="20"/>
        </w:rPr>
        <w:t xml:space="preserve"> The following agreement was approved in RAN1#111:</w:t>
      </w:r>
    </w:p>
    <w:tbl>
      <w:tblPr>
        <w:tblStyle w:val="afc"/>
        <w:tblW w:w="0" w:type="auto"/>
        <w:tblLook w:val="04A0" w:firstRow="1" w:lastRow="0" w:firstColumn="1" w:lastColumn="0" w:noHBand="0" w:noVBand="1"/>
      </w:tblPr>
      <w:tblGrid>
        <w:gridCol w:w="9350"/>
      </w:tblGrid>
      <w:tr w:rsidR="002D5C04" w:rsidRPr="006C4842" w14:paraId="0C1AE1C7" w14:textId="77777777" w:rsidTr="002D5C04">
        <w:tc>
          <w:tcPr>
            <w:tcW w:w="9350" w:type="dxa"/>
          </w:tcPr>
          <w:p w14:paraId="5224982D" w14:textId="475BF497" w:rsidR="002D5C04" w:rsidRPr="006C4842" w:rsidRDefault="002D5C04" w:rsidP="002D5C04">
            <w:pPr>
              <w:snapToGrid w:val="0"/>
              <w:rPr>
                <w:rFonts w:eastAsia="Batang"/>
                <w:b/>
                <w:bCs/>
                <w:sz w:val="20"/>
                <w:szCs w:val="20"/>
                <w:u w:val="single"/>
                <w:lang w:val="en-GB" w:eastAsia="en-US"/>
              </w:rPr>
            </w:pPr>
            <w:r w:rsidRPr="006C4842">
              <w:rPr>
                <w:rFonts w:eastAsia="Batang"/>
                <w:b/>
                <w:bCs/>
                <w:sz w:val="20"/>
                <w:szCs w:val="20"/>
                <w:u w:val="single"/>
                <w:lang w:val="en-GB" w:eastAsia="en-US"/>
              </w:rPr>
              <w:t>Agreement in RAN1#111</w:t>
            </w:r>
          </w:p>
          <w:p w14:paraId="2358434F" w14:textId="2306FC63" w:rsidR="002D5C04" w:rsidRPr="006C4842" w:rsidRDefault="002D5C04">
            <w:pPr>
              <w:autoSpaceDE w:val="0"/>
              <w:autoSpaceDN w:val="0"/>
              <w:adjustRightInd w:val="0"/>
              <w:snapToGrid w:val="0"/>
              <w:spacing w:beforeLines="50" w:before="180" w:afterLines="50" w:after="180"/>
              <w:jc w:val="both"/>
              <w:rPr>
                <w:sz w:val="20"/>
                <w:szCs w:val="20"/>
              </w:rPr>
            </w:pPr>
            <w:r w:rsidRPr="006C4842">
              <w:rPr>
                <w:sz w:val="20"/>
                <w:szCs w:val="20"/>
              </w:rPr>
              <w:t>With regards to the power control for SL-PRS at least Open Loop PC should be introduced.</w:t>
            </w:r>
          </w:p>
        </w:tc>
      </w:tr>
    </w:tbl>
    <w:p w14:paraId="577B7CE7" w14:textId="173D104C" w:rsidR="002D5C04" w:rsidRPr="006C4842" w:rsidRDefault="00682B79">
      <w:pPr>
        <w:snapToGrid w:val="0"/>
        <w:spacing w:beforeLines="50" w:before="180" w:afterLines="50" w:after="180"/>
        <w:jc w:val="both"/>
        <w:rPr>
          <w:iCs/>
          <w:sz w:val="20"/>
          <w:szCs w:val="20"/>
        </w:rPr>
      </w:pPr>
      <w:r w:rsidRPr="006C4842">
        <w:rPr>
          <w:iCs/>
          <w:sz w:val="20"/>
          <w:szCs w:val="20"/>
        </w:rPr>
        <w:t>For power control formula, Open Loop power control is supported for PSCCH/PSSCH in current SL communication.</w:t>
      </w:r>
      <w:r w:rsidR="00035C03" w:rsidRPr="006C4842">
        <w:rPr>
          <w:iCs/>
          <w:sz w:val="20"/>
          <w:szCs w:val="20"/>
        </w:rPr>
        <w:t xml:space="preserve"> </w:t>
      </w:r>
      <w:r w:rsidR="00E93C12" w:rsidRPr="006C4842">
        <w:rPr>
          <w:iCs/>
          <w:sz w:val="20"/>
          <w:szCs w:val="20"/>
        </w:rPr>
        <w:t>Similarly, we can design a specific</w:t>
      </w:r>
      <w:r w:rsidR="00655B13" w:rsidRPr="006C4842">
        <w:rPr>
          <w:iCs/>
          <w:sz w:val="20"/>
          <w:szCs w:val="20"/>
        </w:rPr>
        <w:t xml:space="preserve"> open loop</w:t>
      </w:r>
      <w:r w:rsidR="00E93C12" w:rsidRPr="006C4842">
        <w:rPr>
          <w:iCs/>
          <w:sz w:val="20"/>
          <w:szCs w:val="20"/>
        </w:rPr>
        <w:t xml:space="preserve"> power control formula for SL-PRS. Based on</w:t>
      </w:r>
      <w:r w:rsidR="00D34420" w:rsidRPr="006C4842">
        <w:rPr>
          <w:iCs/>
          <w:sz w:val="20"/>
          <w:szCs w:val="20"/>
        </w:rPr>
        <w:t xml:space="preserve"> UE capability and </w:t>
      </w:r>
      <w:r w:rsidR="00DF118B" w:rsidRPr="006C4842">
        <w:rPr>
          <w:iCs/>
          <w:sz w:val="20"/>
          <w:szCs w:val="20"/>
        </w:rPr>
        <w:t xml:space="preserve">SL/DL </w:t>
      </w:r>
      <w:r w:rsidR="00DF118B" w:rsidRPr="006C4842">
        <w:rPr>
          <w:iCs/>
          <w:sz w:val="20"/>
          <w:szCs w:val="20"/>
        </w:rPr>
        <w:lastRenderedPageBreak/>
        <w:t xml:space="preserve">pathloss, a UE determines the SL-PRS transmission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SL-PRS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sidR="00DF118B" w:rsidRPr="006C4842">
        <w:rPr>
          <w:sz w:val="20"/>
          <w:szCs w:val="20"/>
        </w:rPr>
        <w:t xml:space="preserve"> in SL-PRS transmission occasion </w:t>
      </w:r>
      <m:oMath>
        <m:r>
          <w:rPr>
            <w:rFonts w:ascii="Cambria Math" w:hAnsi="Cambria Math"/>
            <w:sz w:val="20"/>
            <w:szCs w:val="20"/>
          </w:rPr>
          <m:t>i</m:t>
        </m:r>
      </m:oMath>
      <w:r w:rsidR="00DF118B" w:rsidRPr="006C4842">
        <w:rPr>
          <w:sz w:val="20"/>
          <w:szCs w:val="20"/>
        </w:rPr>
        <w:t xml:space="preserve"> on active SL BWP as:</w:t>
      </w:r>
    </w:p>
    <w:p w14:paraId="71A699B4" w14:textId="3BA94C41" w:rsidR="00DF118B" w:rsidRPr="006C4842" w:rsidRDefault="00FC5CED" w:rsidP="00DF118B">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SL-PRS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sz w:val="20"/>
                        <w:szCs w:val="20"/>
                      </w:rPr>
                      <m:t>SL-PRS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SL-PRS,</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SL-PRS,</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00DF118B" w:rsidRPr="006C4842">
        <w:rPr>
          <w:sz w:val="20"/>
          <w:szCs w:val="20"/>
        </w:rPr>
        <w:t xml:space="preserve"> [dBm]</w:t>
      </w:r>
    </w:p>
    <w:p w14:paraId="691ED247" w14:textId="75583244" w:rsidR="002D5C04" w:rsidRPr="006C4842" w:rsidRDefault="00DF118B">
      <w:pPr>
        <w:snapToGrid w:val="0"/>
        <w:spacing w:beforeLines="50" w:before="180" w:afterLines="50" w:after="180"/>
        <w:jc w:val="both"/>
        <w:rPr>
          <w:iCs/>
          <w:sz w:val="20"/>
          <w:szCs w:val="20"/>
        </w:rPr>
      </w:pPr>
      <w:r w:rsidRPr="006C4842">
        <w:rPr>
          <w:iCs/>
          <w:sz w:val="20"/>
          <w:szCs w:val="20"/>
        </w:rPr>
        <w:t>where</w:t>
      </w:r>
    </w:p>
    <w:p w14:paraId="6DBD8C71" w14:textId="75FBCEB0" w:rsidR="00DF118B" w:rsidRPr="006C4842" w:rsidRDefault="00FC5CED" w:rsidP="00DF118B">
      <w:pPr>
        <w:pStyle w:val="aff2"/>
        <w:numPr>
          <w:ilvl w:val="0"/>
          <w:numId w:val="50"/>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CMAX</m:t>
            </m:r>
          </m:sub>
        </m:sSub>
      </m:oMath>
      <w:r w:rsidR="00DF118B" w:rsidRPr="006C4842">
        <w:rPr>
          <w:sz w:val="20"/>
        </w:rPr>
        <w:t xml:space="preserve"> is UE’s maximum transmission power dependent on the UE’s capability</w:t>
      </w:r>
    </w:p>
    <w:p w14:paraId="58352248" w14:textId="295E4C17" w:rsidR="0083441B" w:rsidRPr="006C4842" w:rsidRDefault="00FC5CED" w:rsidP="00DF118B">
      <w:pPr>
        <w:pStyle w:val="aff2"/>
        <w:numPr>
          <w:ilvl w:val="0"/>
          <w:numId w:val="50"/>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MAX,</m:t>
            </m:r>
            <m:sSub>
              <m:sSubPr>
                <m:ctrlPr>
                  <w:rPr>
                    <w:rFonts w:ascii="Cambria Math" w:hAnsi="Cambria Math"/>
                    <w:sz w:val="20"/>
                  </w:rPr>
                </m:ctrlPr>
              </m:sSubPr>
              <m:e>
                <m:r>
                  <w:rPr>
                    <w:rFonts w:ascii="Cambria Math" w:hAnsi="Cambria Math"/>
                    <w:sz w:val="20"/>
                  </w:rPr>
                  <m:t>CBR</m:t>
                </m:r>
              </m:e>
              <m:sub>
                <m:r>
                  <m:rPr>
                    <m:nor/>
                  </m:rPr>
                  <w:rPr>
                    <w:sz w:val="20"/>
                  </w:rPr>
                  <m:t>SL-PRS</m:t>
                </m:r>
              </m:sub>
            </m:sSub>
          </m:sub>
        </m:sSub>
      </m:oMath>
      <w:r w:rsidR="0083441B" w:rsidRPr="006C4842">
        <w:rPr>
          <w:sz w:val="20"/>
        </w:rPr>
        <w:t xml:space="preserve"> is determined by high layer signaling based on the priority of SL-PRS transmission and SL-PRS CBR range (related to SL-PRS congestion control)</w:t>
      </w:r>
    </w:p>
    <w:p w14:paraId="2199DE3B" w14:textId="46FF9B92" w:rsidR="0083441B" w:rsidRPr="006C4842" w:rsidRDefault="00FC5CED" w:rsidP="00DF118B">
      <w:pPr>
        <w:pStyle w:val="aff2"/>
        <w:numPr>
          <w:ilvl w:val="0"/>
          <w:numId w:val="50"/>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SL-PRS,</m:t>
            </m:r>
            <m:r>
              <w:rPr>
                <w:rFonts w:ascii="Cambria Math" w:hAnsi="Cambria Math"/>
                <w:sz w:val="20"/>
              </w:rPr>
              <m:t>D</m:t>
            </m:r>
          </m:sub>
        </m:sSub>
        <m:d>
          <m:dPr>
            <m:ctrlPr>
              <w:rPr>
                <w:rFonts w:ascii="Cambria Math" w:hAnsi="Cambria Math"/>
                <w:sz w:val="20"/>
              </w:rPr>
            </m:ctrlPr>
          </m:dPr>
          <m:e>
            <m:r>
              <w:rPr>
                <w:rFonts w:ascii="Cambria Math" w:hAnsi="Cambria Math"/>
                <w:sz w:val="20"/>
              </w:rPr>
              <m:t>i</m:t>
            </m:r>
          </m:e>
        </m:d>
      </m:oMath>
      <w:r w:rsidR="00A700EB" w:rsidRPr="006C4842">
        <w:rPr>
          <w:sz w:val="20"/>
        </w:rPr>
        <w:t xml:space="preserve"> and </w:t>
      </w:r>
      <m:oMath>
        <m:sSub>
          <m:sSubPr>
            <m:ctrlPr>
              <w:rPr>
                <w:rFonts w:ascii="Cambria Math" w:hAnsi="Cambria Math"/>
                <w:sz w:val="20"/>
              </w:rPr>
            </m:ctrlPr>
          </m:sSubPr>
          <m:e>
            <m:r>
              <w:rPr>
                <w:rFonts w:ascii="Cambria Math" w:hAnsi="Cambria Math"/>
                <w:sz w:val="20"/>
              </w:rPr>
              <m:t>P</m:t>
            </m:r>
          </m:e>
          <m:sub>
            <m:r>
              <m:rPr>
                <m:nor/>
              </m:rPr>
              <w:rPr>
                <w:sz w:val="20"/>
              </w:rPr>
              <m:t>SL-PRS,</m:t>
            </m:r>
            <m:r>
              <w:rPr>
                <w:rFonts w:ascii="Cambria Math" w:hAnsi="Cambria Math"/>
                <w:sz w:val="20"/>
              </w:rPr>
              <m:t>SL</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sidR="00A700EB" w:rsidRPr="006C4842">
        <w:rPr>
          <w:sz w:val="20"/>
        </w:rPr>
        <w:t xml:space="preserve"> are dependent on the DL pathloss and SL pathloss respectively</w:t>
      </w:r>
    </w:p>
    <w:p w14:paraId="3BD7D0F6" w14:textId="3645DCE5" w:rsidR="0083441B" w:rsidRPr="006C4842" w:rsidRDefault="0083441B" w:rsidP="0083441B">
      <w:pPr>
        <w:autoSpaceDE w:val="0"/>
        <w:autoSpaceDN w:val="0"/>
        <w:adjustRightInd w:val="0"/>
        <w:snapToGrid w:val="0"/>
        <w:spacing w:beforeLines="50" w:before="180" w:afterLines="50" w:after="180"/>
        <w:jc w:val="both"/>
        <w:rPr>
          <w:i/>
          <w:iCs/>
          <w:sz w:val="20"/>
          <w:szCs w:val="20"/>
        </w:rPr>
      </w:pPr>
      <w:r w:rsidRPr="006C4842">
        <w:rPr>
          <w:b/>
          <w:bCs/>
          <w:i/>
          <w:iCs/>
          <w:sz w:val="20"/>
          <w:szCs w:val="20"/>
        </w:rPr>
        <w:t xml:space="preserve">Proposal </w:t>
      </w:r>
      <w:r w:rsidR="00A700EB" w:rsidRPr="006C4842">
        <w:rPr>
          <w:b/>
          <w:bCs/>
          <w:i/>
          <w:iCs/>
          <w:sz w:val="20"/>
          <w:szCs w:val="20"/>
        </w:rPr>
        <w:t>4</w:t>
      </w:r>
      <w:r w:rsidRPr="006C4842">
        <w:rPr>
          <w:b/>
          <w:bCs/>
          <w:i/>
          <w:iCs/>
          <w:sz w:val="20"/>
          <w:szCs w:val="20"/>
        </w:rPr>
        <w:t>:</w:t>
      </w:r>
      <w:r w:rsidRPr="006C4842">
        <w:rPr>
          <w:i/>
          <w:iCs/>
          <w:sz w:val="20"/>
          <w:szCs w:val="20"/>
        </w:rPr>
        <w:t xml:space="preserve"> For SL-PRS Open Loop PC, </w:t>
      </w:r>
      <w:r w:rsidR="00786ED8" w:rsidRPr="006C4842">
        <w:rPr>
          <w:i/>
          <w:iCs/>
          <w:sz w:val="20"/>
          <w:szCs w:val="20"/>
        </w:rPr>
        <w:t>the design of power control formula use PSSCH’s power control formula as a starting point</w:t>
      </w:r>
      <w:r w:rsidRPr="006C4842">
        <w:rPr>
          <w:i/>
          <w:iCs/>
          <w:sz w:val="20"/>
          <w:szCs w:val="20"/>
        </w:rPr>
        <w:t>.</w:t>
      </w:r>
    </w:p>
    <w:p w14:paraId="33DFFF8F" w14:textId="26EF490A" w:rsidR="00DA610C" w:rsidRPr="00035C03" w:rsidRDefault="002D5C04">
      <w:pPr>
        <w:snapToGrid w:val="0"/>
        <w:spacing w:beforeLines="50" w:before="180" w:afterLines="50" w:after="180"/>
        <w:jc w:val="both"/>
        <w:rPr>
          <w:iCs/>
          <w:sz w:val="20"/>
          <w:szCs w:val="20"/>
        </w:rPr>
      </w:pPr>
      <w:r w:rsidRPr="006C4842">
        <w:rPr>
          <w:iCs/>
          <w:sz w:val="20"/>
          <w:szCs w:val="20"/>
        </w:rPr>
        <w:t xml:space="preserve">Moreover, </w:t>
      </w:r>
      <w:r w:rsidR="00CB595F" w:rsidRPr="006C4842">
        <w:rPr>
          <w:iCs/>
          <w:sz w:val="20"/>
          <w:szCs w:val="20"/>
        </w:rPr>
        <w:t>i</w:t>
      </w:r>
      <w:r w:rsidR="00BE1760" w:rsidRPr="006C4842">
        <w:rPr>
          <w:iCs/>
          <w:sz w:val="20"/>
          <w:szCs w:val="20"/>
        </w:rPr>
        <w:t>n order f</w:t>
      </w:r>
      <w:r w:rsidR="00BE1760">
        <w:rPr>
          <w:iCs/>
          <w:sz w:val="20"/>
          <w:szCs w:val="20"/>
        </w:rPr>
        <w:t>or more flexible control of the SL-PRS transmission power, the close loop power control can</w:t>
      </w:r>
      <w:r w:rsidR="00035C03">
        <w:rPr>
          <w:iCs/>
          <w:sz w:val="20"/>
          <w:szCs w:val="20"/>
        </w:rPr>
        <w:t xml:space="preserve"> also</w:t>
      </w:r>
      <w:r w:rsidR="00BE1760">
        <w:rPr>
          <w:iCs/>
          <w:sz w:val="20"/>
          <w:szCs w:val="20"/>
        </w:rPr>
        <w:t xml:space="preserve"> be considered in SL-PRS power control formula. </w:t>
      </w:r>
      <w:r w:rsidR="00BE1760">
        <w:rPr>
          <w:sz w:val="20"/>
          <w:szCs w:val="20"/>
        </w:rPr>
        <w:t xml:space="preserve">For example, for a SL-PRS transmission, a UE determines a power </w:t>
      </w:r>
      <w:r w:rsidR="00BE1760">
        <w:rPr>
          <w:position w:val="-12"/>
          <w:sz w:val="20"/>
          <w:szCs w:val="20"/>
        </w:rPr>
        <w:object w:dxaOrig="960" w:dyaOrig="368" w14:anchorId="40AAC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8.3pt" o:ole="">
            <v:imagedata r:id="rId11" o:title=""/>
          </v:shape>
          <o:OLEObject Type="Embed" ProgID="Equation.3" ShapeID="_x0000_i1025" DrawAspect="Content" ObjectID="_1738049385" r:id="rId12"/>
        </w:object>
      </w:r>
      <w:r w:rsidR="00BE1760">
        <w:rPr>
          <w:sz w:val="20"/>
          <w:szCs w:val="20"/>
        </w:rPr>
        <w:t xml:space="preserve"> in SL-PRS transmission occasion </w:t>
      </w:r>
      <w:r w:rsidR="00BE1760">
        <w:rPr>
          <w:position w:val="-6"/>
          <w:sz w:val="20"/>
          <w:szCs w:val="20"/>
        </w:rPr>
        <w:object w:dxaOrig="143" w:dyaOrig="248" w14:anchorId="720E6BAA">
          <v:shape id="_x0000_i1026" type="#_x0000_t75" style="width:7.1pt;height:12.05pt" o:ole="">
            <v:imagedata r:id="rId13" o:title=""/>
          </v:shape>
          <o:OLEObject Type="Embed" ProgID="Equation.3" ShapeID="_x0000_i1026" DrawAspect="Content" ObjectID="_1738049386" r:id="rId14"/>
        </w:object>
      </w:r>
      <w:r w:rsidR="00BE1760">
        <w:rPr>
          <w:sz w:val="20"/>
          <w:szCs w:val="20"/>
        </w:rPr>
        <w:t xml:space="preserve"> on active SL BWP </w:t>
      </w:r>
      <w:r w:rsidR="00BE1760">
        <w:rPr>
          <w:position w:val="-6"/>
          <w:sz w:val="20"/>
          <w:szCs w:val="20"/>
        </w:rPr>
        <w:object w:dxaOrig="210" w:dyaOrig="285" w14:anchorId="2E453C30">
          <v:shape id="_x0000_i1027" type="#_x0000_t75" style="width:10.8pt;height:14.55pt" o:ole="">
            <v:imagedata r:id="rId15" o:title=""/>
          </v:shape>
          <o:OLEObject Type="Embed" ProgID="Equation.3" ShapeID="_x0000_i1027" DrawAspect="Content" ObjectID="_1738049387" r:id="rId16"/>
        </w:object>
      </w:r>
      <w:r w:rsidR="00BE1760">
        <w:rPr>
          <w:sz w:val="20"/>
          <w:szCs w:val="20"/>
        </w:rPr>
        <w:t xml:space="preserve"> of carrier </w:t>
      </w:r>
      <w:r w:rsidR="00BE1760">
        <w:rPr>
          <w:position w:val="-10"/>
          <w:sz w:val="20"/>
          <w:szCs w:val="20"/>
        </w:rPr>
        <w:object w:dxaOrig="233" w:dyaOrig="315" w14:anchorId="3122D8C7">
          <v:shape id="_x0000_i1028" type="#_x0000_t75" style="width:11.65pt;height:15.4pt" o:ole="">
            <v:imagedata r:id="rId17" o:title=""/>
          </v:shape>
          <o:OLEObject Type="Embed" ProgID="Equation.3" ShapeID="_x0000_i1028" DrawAspect="Content" ObjectID="_1738049388" r:id="rId18"/>
        </w:object>
      </w:r>
      <w:r w:rsidR="00BE1760">
        <w:rPr>
          <w:sz w:val="20"/>
          <w:szCs w:val="20"/>
        </w:rPr>
        <w:t xml:space="preserve"> as:</w:t>
      </w:r>
    </w:p>
    <w:p w14:paraId="335BEF49" w14:textId="77777777" w:rsidR="00DA610C" w:rsidRDefault="00BE1760">
      <w:pPr>
        <w:pStyle w:val="ListParagraph1"/>
        <w:snapToGrid w:val="0"/>
        <w:spacing w:beforeLines="50" w:before="180" w:afterLines="50" w:after="180"/>
        <w:ind w:firstLineChars="0" w:firstLine="0"/>
        <w:jc w:val="center"/>
        <w:rPr>
          <w:szCs w:val="21"/>
        </w:rPr>
      </w:pPr>
      <w:r>
        <w:rPr>
          <w:rFonts w:hint="eastAsia"/>
          <w:position w:val="-14"/>
          <w:sz w:val="20"/>
          <w:szCs w:val="21"/>
        </w:rPr>
        <w:object w:dxaOrig="7328" w:dyaOrig="375" w14:anchorId="20E30DE1">
          <v:shape id="_x0000_i1029" type="#_x0000_t75" style="width:366.25pt;height:19.15pt" o:ole="">
            <v:imagedata r:id="rId19" o:title=""/>
          </v:shape>
          <o:OLEObject Type="Embed" ProgID="Equation.3" ShapeID="_x0000_i1029" DrawAspect="Content" ObjectID="_1738049389" r:id="rId20"/>
        </w:object>
      </w:r>
      <w:r>
        <w:rPr>
          <w:rFonts w:hint="eastAsia"/>
          <w:szCs w:val="21"/>
        </w:rPr>
        <w:t xml:space="preserve"> [dBm]</w:t>
      </w:r>
    </w:p>
    <w:p w14:paraId="5182987C" w14:textId="08B0E885" w:rsidR="0006436A" w:rsidRDefault="00BE1760">
      <w:pPr>
        <w:autoSpaceDE w:val="0"/>
        <w:autoSpaceDN w:val="0"/>
        <w:adjustRightInd w:val="0"/>
        <w:snapToGrid w:val="0"/>
        <w:spacing w:beforeLines="50" w:before="180" w:afterLines="50" w:after="180"/>
        <w:jc w:val="both"/>
        <w:rPr>
          <w:sz w:val="20"/>
          <w:szCs w:val="20"/>
        </w:rPr>
      </w:pPr>
      <w:r>
        <w:rPr>
          <w:iCs/>
          <w:sz w:val="20"/>
          <w:szCs w:val="20"/>
        </w:rPr>
        <w:t xml:space="preserve">Where </w:t>
      </w:r>
      <w:r>
        <w:rPr>
          <w:position w:val="-10"/>
          <w:sz w:val="20"/>
          <w:szCs w:val="20"/>
        </w:rPr>
        <w:object w:dxaOrig="315" w:dyaOrig="338" w14:anchorId="7B54740A">
          <v:shape id="_x0000_i1030" type="#_x0000_t75" style="width:15.4pt;height:16.65pt" o:ole="">
            <v:imagedata r:id="rId21" o:title=""/>
          </v:shape>
          <o:OLEObject Type="Embed" ProgID="Equation.3" ShapeID="_x0000_i1030" DrawAspect="Content" ObjectID="_1738049390" r:id="rId22"/>
        </w:object>
      </w:r>
      <w:r>
        <w:rPr>
          <w:sz w:val="20"/>
          <w:szCs w:val="20"/>
        </w:rPr>
        <w:t xml:space="preserve"> and </w:t>
      </w:r>
      <w:r>
        <w:rPr>
          <w:position w:val="-12"/>
          <w:sz w:val="20"/>
          <w:szCs w:val="20"/>
        </w:rPr>
        <w:object w:dxaOrig="368" w:dyaOrig="368" w14:anchorId="71F49FDC">
          <v:shape id="_x0000_i1031" type="#_x0000_t75" style="width:18.3pt;height:18.3pt" o:ole="">
            <v:imagedata r:id="rId23" o:title=""/>
          </v:shape>
          <o:OLEObject Type="Embed" ProgID="Equation.3" ShapeID="_x0000_i1031" DrawAspect="Content" ObjectID="_1738049391" r:id="rId24"/>
        </w:object>
      </w:r>
      <w:r>
        <w:rPr>
          <w:sz w:val="20"/>
          <w:szCs w:val="20"/>
        </w:rPr>
        <w:t xml:space="preserve"> are the adjustment factor of </w:t>
      </w:r>
      <w:r>
        <w:rPr>
          <w:position w:val="-14"/>
          <w:sz w:val="20"/>
          <w:szCs w:val="20"/>
        </w:rPr>
        <w:object w:dxaOrig="848" w:dyaOrig="375" w14:anchorId="50A5C16B">
          <v:shape id="_x0000_i1032" type="#_x0000_t75" style="width:42.45pt;height:19.15pt" o:ole="">
            <v:imagedata r:id="rId25" o:title=""/>
          </v:shape>
          <o:OLEObject Type="Embed" ProgID="Equation.3" ShapeID="_x0000_i1032" DrawAspect="Content" ObjectID="_1738049392" r:id="rId26"/>
        </w:object>
      </w:r>
      <w:r>
        <w:rPr>
          <w:sz w:val="20"/>
          <w:szCs w:val="20"/>
        </w:rPr>
        <w:t xml:space="preserve"> and </w:t>
      </w:r>
      <w:r>
        <w:rPr>
          <w:position w:val="-14"/>
          <w:sz w:val="20"/>
          <w:szCs w:val="20"/>
        </w:rPr>
        <w:object w:dxaOrig="893" w:dyaOrig="375" w14:anchorId="01FA0183">
          <v:shape id="_x0000_i1033" type="#_x0000_t75" style="width:44.55pt;height:19.15pt" o:ole="">
            <v:imagedata r:id="rId27" o:title=""/>
          </v:shape>
          <o:OLEObject Type="Embed" ProgID="Equation.3" ShapeID="_x0000_i1033" DrawAspect="Content" ObjectID="_1738049393" r:id="rId28"/>
        </w:object>
      </w:r>
      <w:r>
        <w:rPr>
          <w:sz w:val="20"/>
          <w:szCs w:val="20"/>
        </w:rPr>
        <w:t xml:space="preserve"> respectively.</w:t>
      </w:r>
      <w:r w:rsidR="006B675A">
        <w:rPr>
          <w:sz w:val="20"/>
          <w:szCs w:val="20"/>
        </w:rPr>
        <w:t xml:space="preserve"> </w:t>
      </w:r>
      <w:r w:rsidR="0006436A">
        <w:rPr>
          <w:sz w:val="20"/>
          <w:szCs w:val="20"/>
        </w:rPr>
        <w:t xml:space="preserve">For example, the value of </w:t>
      </w:r>
      <w:r w:rsidR="0006436A">
        <w:rPr>
          <w:position w:val="-10"/>
          <w:sz w:val="20"/>
          <w:szCs w:val="20"/>
        </w:rPr>
        <w:object w:dxaOrig="315" w:dyaOrig="338" w14:anchorId="028A8E2C">
          <v:shape id="_x0000_i1034" type="#_x0000_t75" style="width:15.4pt;height:16.65pt" o:ole="">
            <v:imagedata r:id="rId21" o:title=""/>
          </v:shape>
          <o:OLEObject Type="Embed" ProgID="Equation.3" ShapeID="_x0000_i1034" DrawAspect="Content" ObjectID="_1738049394" r:id="rId29"/>
        </w:object>
      </w:r>
      <w:r w:rsidR="0006436A">
        <w:rPr>
          <w:sz w:val="20"/>
          <w:szCs w:val="20"/>
        </w:rPr>
        <w:t xml:space="preserve"> and </w:t>
      </w:r>
      <w:r w:rsidR="0006436A">
        <w:rPr>
          <w:position w:val="-12"/>
          <w:sz w:val="20"/>
          <w:szCs w:val="20"/>
        </w:rPr>
        <w:object w:dxaOrig="368" w:dyaOrig="368" w14:anchorId="187CCCB5">
          <v:shape id="_x0000_i1035" type="#_x0000_t75" style="width:18.3pt;height:18.3pt" o:ole="">
            <v:imagedata r:id="rId23" o:title=""/>
          </v:shape>
          <o:OLEObject Type="Embed" ProgID="Equation.3" ShapeID="_x0000_i1035" DrawAspect="Content" ObjectID="_1738049395" r:id="rId30"/>
        </w:object>
      </w:r>
      <w:r w:rsidR="0006436A">
        <w:rPr>
          <w:sz w:val="20"/>
          <w:szCs w:val="20"/>
        </w:rPr>
        <w:t xml:space="preserve"> </w:t>
      </w:r>
      <w:r w:rsidR="006C4842">
        <w:rPr>
          <w:sz w:val="20"/>
          <w:szCs w:val="20"/>
        </w:rPr>
        <w:t>can be set to</w:t>
      </w:r>
      <w:r w:rsidR="0006436A">
        <w:rPr>
          <w:sz w:val="20"/>
          <w:szCs w:val="20"/>
        </w:rPr>
        <w:t xml:space="preserve"> an integer of </w:t>
      </w:r>
      <w:r w:rsidR="0006436A" w:rsidRPr="0006436A">
        <w:rPr>
          <w:sz w:val="20"/>
          <w:szCs w:val="20"/>
        </w:rPr>
        <w:t>[-4,</w:t>
      </w:r>
      <w:r w:rsidR="000807E7">
        <w:rPr>
          <w:sz w:val="20"/>
          <w:szCs w:val="20"/>
        </w:rPr>
        <w:t xml:space="preserve"> </w:t>
      </w:r>
      <w:r w:rsidR="0006436A" w:rsidRPr="0006436A">
        <w:rPr>
          <w:sz w:val="20"/>
          <w:szCs w:val="20"/>
        </w:rPr>
        <w:t>-1,</w:t>
      </w:r>
      <w:r w:rsidR="000807E7">
        <w:rPr>
          <w:sz w:val="20"/>
          <w:szCs w:val="20"/>
        </w:rPr>
        <w:t xml:space="preserve"> </w:t>
      </w:r>
      <w:r w:rsidR="0006436A" w:rsidRPr="0006436A">
        <w:rPr>
          <w:sz w:val="20"/>
          <w:szCs w:val="20"/>
        </w:rPr>
        <w:t>0,</w:t>
      </w:r>
      <w:r w:rsidR="000807E7">
        <w:rPr>
          <w:sz w:val="20"/>
          <w:szCs w:val="20"/>
        </w:rPr>
        <w:t xml:space="preserve"> </w:t>
      </w:r>
      <w:r w:rsidR="0006436A" w:rsidRPr="0006436A">
        <w:rPr>
          <w:sz w:val="20"/>
          <w:szCs w:val="20"/>
        </w:rPr>
        <w:t>1,</w:t>
      </w:r>
      <w:r w:rsidR="000807E7">
        <w:rPr>
          <w:sz w:val="20"/>
          <w:szCs w:val="20"/>
        </w:rPr>
        <w:t xml:space="preserve"> </w:t>
      </w:r>
      <w:r w:rsidR="0006436A" w:rsidRPr="0006436A">
        <w:rPr>
          <w:sz w:val="20"/>
          <w:szCs w:val="20"/>
        </w:rPr>
        <w:t>4]</w:t>
      </w:r>
      <w:r w:rsidR="006C4842">
        <w:rPr>
          <w:sz w:val="20"/>
          <w:szCs w:val="20"/>
        </w:rPr>
        <w:t>,</w:t>
      </w:r>
      <w:r w:rsidR="0006436A">
        <w:rPr>
          <w:sz w:val="20"/>
          <w:szCs w:val="20"/>
        </w:rPr>
        <w:t xml:space="preserve"> </w:t>
      </w:r>
      <w:r w:rsidR="006C4842">
        <w:rPr>
          <w:sz w:val="20"/>
          <w:szCs w:val="20"/>
        </w:rPr>
        <w:t xml:space="preserve">the network or the Rx UE will select an appropriate value and send feedback to </w:t>
      </w:r>
      <w:r w:rsidR="00E03C06">
        <w:rPr>
          <w:sz w:val="20"/>
          <w:szCs w:val="20"/>
        </w:rPr>
        <w:t>Tx UE</w:t>
      </w:r>
      <w:r w:rsidR="006C4842">
        <w:rPr>
          <w:sz w:val="20"/>
          <w:szCs w:val="20"/>
        </w:rPr>
        <w:t xml:space="preserve"> </w:t>
      </w:r>
      <w:r w:rsidR="000807E7">
        <w:rPr>
          <w:sz w:val="20"/>
          <w:szCs w:val="20"/>
        </w:rPr>
        <w:t>based on the RSRP of corresponding RS.</w:t>
      </w:r>
    </w:p>
    <w:p w14:paraId="7C8DD8E9" w14:textId="446F9B43"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12673A">
        <w:rPr>
          <w:b/>
          <w:bCs/>
          <w:i/>
          <w:iCs/>
          <w:sz w:val="20"/>
          <w:szCs w:val="20"/>
        </w:rPr>
        <w:t>5</w:t>
      </w:r>
      <w:r>
        <w:rPr>
          <w:b/>
          <w:bCs/>
          <w:i/>
          <w:iCs/>
          <w:sz w:val="20"/>
          <w:szCs w:val="20"/>
        </w:rPr>
        <w:t>:</w:t>
      </w:r>
      <w:r>
        <w:rPr>
          <w:i/>
          <w:iCs/>
          <w:sz w:val="20"/>
          <w:szCs w:val="20"/>
        </w:rPr>
        <w:t xml:space="preserve"> </w:t>
      </w:r>
      <w:r w:rsidR="00682B79" w:rsidRPr="00682B79">
        <w:rPr>
          <w:i/>
          <w:iCs/>
          <w:sz w:val="20"/>
          <w:szCs w:val="20"/>
        </w:rPr>
        <w:t xml:space="preserve">For SL-PRS transmissions in a dedicated resource pool, with regards to the power control for SL-PRS </w:t>
      </w:r>
      <w:r w:rsidR="00FC457E">
        <w:rPr>
          <w:i/>
          <w:iCs/>
          <w:sz w:val="20"/>
          <w:szCs w:val="20"/>
        </w:rPr>
        <w:t>consider</w:t>
      </w:r>
      <w:r w:rsidR="00682B79">
        <w:rPr>
          <w:i/>
          <w:iCs/>
          <w:sz w:val="20"/>
          <w:szCs w:val="20"/>
        </w:rPr>
        <w:t xml:space="preserve"> Close Loop PC</w:t>
      </w:r>
      <w:r w:rsidR="000807E7">
        <w:rPr>
          <w:i/>
          <w:iCs/>
          <w:sz w:val="20"/>
          <w:szCs w:val="20"/>
        </w:rPr>
        <w:t xml:space="preserve"> by introducing adjustment factors</w:t>
      </w:r>
      <w:r>
        <w:rPr>
          <w:i/>
          <w:iCs/>
          <w:sz w:val="20"/>
          <w:szCs w:val="20"/>
        </w:rPr>
        <w:t>.</w:t>
      </w:r>
    </w:p>
    <w:p w14:paraId="08A42A6A" w14:textId="77777777" w:rsidR="000807E7" w:rsidRPr="000807E7" w:rsidRDefault="000807E7">
      <w:pPr>
        <w:autoSpaceDE w:val="0"/>
        <w:autoSpaceDN w:val="0"/>
        <w:adjustRightInd w:val="0"/>
        <w:snapToGrid w:val="0"/>
        <w:spacing w:beforeLines="50" w:before="180" w:afterLines="50" w:after="180"/>
        <w:jc w:val="both"/>
        <w:rPr>
          <w:iCs/>
          <w:sz w:val="20"/>
          <w:szCs w:val="20"/>
        </w:rPr>
      </w:pP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22D4EF8F" w:rsidR="00DA610C" w:rsidRDefault="00BE1760">
      <w:pPr>
        <w:snapToGrid w:val="0"/>
        <w:rPr>
          <w:sz w:val="20"/>
          <w:szCs w:val="20"/>
        </w:rPr>
      </w:pPr>
      <w:r>
        <w:rPr>
          <w:sz w:val="20"/>
          <w:szCs w:val="20"/>
        </w:rPr>
        <w:t>In this contribution, we discuss SL positioning</w:t>
      </w:r>
      <w:r w:rsidR="00394F49">
        <w:rPr>
          <w:sz w:val="20"/>
          <w:szCs w:val="20"/>
        </w:rPr>
        <w:t xml:space="preserve"> reference signals and the corresponding transmission power control</w:t>
      </w:r>
      <w:r>
        <w:rPr>
          <w:sz w:val="20"/>
          <w:szCs w:val="20"/>
        </w:rPr>
        <w:t>, and we have the following proposals:</w:t>
      </w:r>
    </w:p>
    <w:p w14:paraId="2E003815" w14:textId="77777777" w:rsidR="00EA23C7" w:rsidRDefault="00EA23C7" w:rsidP="00EA23C7">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For </w:t>
      </w:r>
      <w:r w:rsidRPr="008D53EF">
        <w:rPr>
          <w:i/>
          <w:iCs/>
          <w:sz w:val="20"/>
          <w:szCs w:val="20"/>
        </w:rPr>
        <w:t>pseudorandom-based</w:t>
      </w:r>
      <w:r>
        <w:rPr>
          <w:i/>
          <w:iCs/>
          <w:sz w:val="20"/>
          <w:szCs w:val="20"/>
        </w:rPr>
        <w:t xml:space="preserve"> SL-PRS, apply similar sequence design as DL-PRS:</w:t>
      </w:r>
    </w:p>
    <w:p w14:paraId="597443C3" w14:textId="77777777" w:rsidR="00EA23C7" w:rsidRDefault="00EA23C7" w:rsidP="00EA23C7">
      <w:pPr>
        <w:pStyle w:val="aff2"/>
        <w:numPr>
          <w:ilvl w:val="0"/>
          <w:numId w:val="13"/>
        </w:numPr>
        <w:snapToGrid w:val="0"/>
        <w:spacing w:beforeLines="50" w:before="180" w:afterLines="50"/>
        <w:jc w:val="both"/>
        <w:rPr>
          <w:i/>
          <w:iCs/>
          <w:sz w:val="20"/>
        </w:rPr>
      </w:pPr>
      <w:r>
        <w:rPr>
          <w:rFonts w:hint="eastAsia"/>
          <w:i/>
          <w:iCs/>
          <w:sz w:val="20"/>
          <w:lang w:eastAsia="zh-CN"/>
        </w:rPr>
        <w:t>S</w:t>
      </w:r>
      <w:r>
        <w:rPr>
          <w:i/>
          <w:iCs/>
          <w:sz w:val="20"/>
          <w:lang w:eastAsia="zh-CN"/>
        </w:rPr>
        <w:t xml:space="preserve">L-PRS sequence ID: the value range is 0-4095 </w:t>
      </w:r>
    </w:p>
    <w:p w14:paraId="5C588148" w14:textId="77777777" w:rsidR="00EA23C7" w:rsidRPr="009141B2" w:rsidRDefault="00EA23C7" w:rsidP="00EA23C7">
      <w:pPr>
        <w:pStyle w:val="aff2"/>
        <w:numPr>
          <w:ilvl w:val="0"/>
          <w:numId w:val="13"/>
        </w:numPr>
        <w:snapToGrid w:val="0"/>
        <w:spacing w:beforeLines="50" w:before="180" w:afterLines="50"/>
        <w:jc w:val="both"/>
        <w:rPr>
          <w:i/>
          <w:iCs/>
          <w:sz w:val="20"/>
        </w:rPr>
      </w:pPr>
      <w:r>
        <w:rPr>
          <w:rFonts w:eastAsiaTheme="minorEastAsia"/>
          <w:i/>
          <w:iCs/>
          <w:sz w:val="20"/>
          <w:lang w:eastAsia="zh-CN"/>
        </w:rPr>
        <w:t>Select one of the following two options regarding SL-PRS sequence configuration:</w:t>
      </w:r>
    </w:p>
    <w:p w14:paraId="4A648125" w14:textId="77777777" w:rsidR="00EA23C7" w:rsidRDefault="00EA23C7" w:rsidP="00EA23C7">
      <w:pPr>
        <w:pStyle w:val="aff2"/>
        <w:numPr>
          <w:ilvl w:val="1"/>
          <w:numId w:val="13"/>
        </w:numPr>
        <w:snapToGrid w:val="0"/>
        <w:spacing w:beforeLines="50" w:before="180" w:afterLines="50"/>
        <w:jc w:val="both"/>
        <w:rPr>
          <w:i/>
          <w:iCs/>
          <w:sz w:val="20"/>
        </w:rPr>
      </w:pPr>
      <w:r w:rsidRPr="009141B2">
        <w:rPr>
          <w:i/>
          <w:iCs/>
          <w:sz w:val="20"/>
        </w:rPr>
        <w:t xml:space="preserve">SL-PRS sequence ID is configured via high layer </w:t>
      </w:r>
      <w:r>
        <w:rPr>
          <w:i/>
          <w:iCs/>
          <w:sz w:val="20"/>
        </w:rPr>
        <w:t>signaling</w:t>
      </w:r>
    </w:p>
    <w:p w14:paraId="0CBB480E" w14:textId="77777777" w:rsidR="00EA23C7" w:rsidRDefault="00EA23C7" w:rsidP="00EA23C7">
      <w:pPr>
        <w:pStyle w:val="aff2"/>
        <w:numPr>
          <w:ilvl w:val="1"/>
          <w:numId w:val="13"/>
        </w:numPr>
        <w:snapToGrid w:val="0"/>
        <w:spacing w:beforeLines="50" w:before="180" w:afterLines="50"/>
        <w:jc w:val="both"/>
        <w:rPr>
          <w:i/>
          <w:iCs/>
          <w:sz w:val="20"/>
        </w:rPr>
      </w:pPr>
      <w:r w:rsidRPr="009141B2">
        <w:rPr>
          <w:i/>
          <w:iCs/>
          <w:sz w:val="20"/>
        </w:rPr>
        <w:t>SL-PRS sequence ID is related to CRC for the sidelink control information</w:t>
      </w:r>
    </w:p>
    <w:p w14:paraId="07C7EBE0" w14:textId="77777777" w:rsidR="00EA23C7" w:rsidRPr="000F4082" w:rsidRDefault="00EA23C7" w:rsidP="00EA23C7">
      <w:pPr>
        <w:pStyle w:val="aff2"/>
        <w:numPr>
          <w:ilvl w:val="0"/>
          <w:numId w:val="13"/>
        </w:numPr>
        <w:snapToGrid w:val="0"/>
        <w:spacing w:beforeLines="50" w:before="180" w:afterLines="50"/>
        <w:jc w:val="both"/>
        <w:rPr>
          <w:i/>
          <w:iCs/>
          <w:sz w:val="20"/>
        </w:rPr>
      </w:pPr>
      <w:r w:rsidRPr="004179CF">
        <w:rPr>
          <w:rFonts w:eastAsia="MS Mincho"/>
          <w:i/>
          <w:iCs/>
          <w:sz w:val="20"/>
        </w:rPr>
        <w:t xml:space="preserve">Offset in high-bit: </w:t>
      </w:r>
      <w:r>
        <w:rPr>
          <w:rFonts w:eastAsia="MS Mincho"/>
          <w:i/>
          <w:iCs/>
          <w:sz w:val="20"/>
        </w:rPr>
        <w:t>introducing a high-bit offset for better multiplexing with SL CSI-RS</w:t>
      </w:r>
      <w:r>
        <w:rPr>
          <w:rFonts w:eastAsia="MS Mincho"/>
          <w:i/>
          <w:iCs/>
          <w:sz w:val="20"/>
        </w:rPr>
        <w:t>, i.e. use the following fo</w:t>
      </w:r>
      <w:r>
        <w:rPr>
          <w:rFonts w:eastAsia="MS Mincho"/>
          <w:i/>
          <w:iCs/>
          <w:sz w:val="20"/>
        </w:rPr>
        <w:t>r</w:t>
      </w:r>
      <w:r>
        <w:rPr>
          <w:rFonts w:eastAsia="MS Mincho"/>
          <w:i/>
          <w:iCs/>
          <w:sz w:val="20"/>
        </w:rPr>
        <w:t>mula</w:t>
      </w:r>
    </w:p>
    <w:p w14:paraId="1BB098FD" w14:textId="77777777" w:rsidR="00EA23C7" w:rsidRPr="004276C4" w:rsidRDefault="00EA23C7" w:rsidP="00EA23C7">
      <w:pPr>
        <w:pStyle w:val="aff2"/>
        <w:widowControl w:val="0"/>
        <w:snapToGrid w:val="0"/>
        <w:spacing w:afterLines="50"/>
        <w:ind w:left="1140"/>
        <w:jc w:val="center"/>
        <w:rPr>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m:t>
                          </m:r>
                          <m:r>
                            <m:rPr>
                              <m:nor/>
                            </m:rPr>
                            <w:rPr>
                              <w:rFonts w:eastAsia="Times New Roman"/>
                              <w:kern w:val="2"/>
                              <w:sz w:val="20"/>
                              <w:lang w:val="en-GB" w:eastAsia="en-US"/>
                            </w:rPr>
                            <m:t>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m:t>
                          </m:r>
                          <m:r>
                            <m:rPr>
                              <m:nor/>
                            </m:rPr>
                            <w:rPr>
                              <w:rFonts w:eastAsia="Times New Roman"/>
                              <w:kern w:val="2"/>
                              <w:sz w:val="20"/>
                              <w:lang w:val="en-GB" w:eastAsia="en-US"/>
                            </w:rPr>
                            <m:t>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eastAsia="Times New Roman"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ID</m:t>
                      </m:r>
                    </m:sub>
                    <m:sup>
                      <m:r>
                        <m:rPr>
                          <m:nor/>
                        </m:rPr>
                        <w:rPr>
                          <w:rFonts w:ascii="Cambria Math" w:eastAsia="Times New Roman"/>
                          <w:kern w:val="2"/>
                          <w:sz w:val="20"/>
                          <w:lang w:val="en-GB" w:eastAsia="en-US"/>
                        </w:rPr>
                        <m:t>SL-</m:t>
                      </m:r>
                      <m:r>
                        <m:rPr>
                          <m:nor/>
                        </m:rPr>
                        <w:rPr>
                          <w:rFonts w:eastAsia="Times New Roman"/>
                          <w:kern w:val="2"/>
                          <w:sz w:val="20"/>
                          <w:lang w:val="en-GB" w:eastAsia="en-US"/>
                        </w:rPr>
                        <m:t>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3D38CE11" w14:textId="77777777" w:rsidR="009236B7" w:rsidRDefault="009236B7" w:rsidP="009236B7">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w:t>
      </w:r>
      <w:r w:rsidRPr="00A0383B">
        <w:rPr>
          <w:i/>
          <w:iCs/>
          <w:sz w:val="20"/>
          <w:szCs w:val="20"/>
        </w:rPr>
        <w:t>With regards to</w:t>
      </w:r>
      <w:r>
        <w:rPr>
          <w:i/>
          <w:iCs/>
          <w:sz w:val="20"/>
          <w:szCs w:val="20"/>
        </w:rPr>
        <w:t xml:space="preserve"> </w:t>
      </w:r>
      <w:r w:rsidRPr="009E249F">
        <w:rPr>
          <w:i/>
          <w:iCs/>
          <w:sz w:val="20"/>
          <w:szCs w:val="20"/>
        </w:rPr>
        <w:t>the value N (comb size) and</w:t>
      </w:r>
      <w:r w:rsidRPr="00A0383B">
        <w:rPr>
          <w:i/>
          <w:iCs/>
          <w:sz w:val="20"/>
          <w:szCs w:val="20"/>
        </w:rPr>
        <w:t xml:space="preserve"> the number M of SL-PRS symbols </w:t>
      </w:r>
      <w:r>
        <w:rPr>
          <w:i/>
          <w:iCs/>
          <w:sz w:val="20"/>
          <w:szCs w:val="20"/>
        </w:rPr>
        <w:t>of a SL-PRS resource</w:t>
      </w:r>
      <w:r w:rsidRPr="00A0383B">
        <w:rPr>
          <w:i/>
          <w:iCs/>
          <w:sz w:val="20"/>
          <w:szCs w:val="20"/>
        </w:rPr>
        <w:t xml:space="preserve"> </w:t>
      </w:r>
      <w:r>
        <w:rPr>
          <w:i/>
          <w:iCs/>
          <w:sz w:val="20"/>
          <w:szCs w:val="20"/>
        </w:rPr>
        <w:t xml:space="preserve">within a slot </w:t>
      </w:r>
      <w:r w:rsidRPr="00A0383B">
        <w:rPr>
          <w:i/>
          <w:iCs/>
          <w:sz w:val="20"/>
          <w:szCs w:val="20"/>
        </w:rPr>
        <w:t>excluding the symbol(s) used for AGC training / Rx</w:t>
      </w:r>
      <w:r>
        <w:rPr>
          <w:i/>
          <w:iCs/>
          <w:sz w:val="20"/>
          <w:szCs w:val="20"/>
        </w:rPr>
        <w:t>-</w:t>
      </w:r>
      <w:r w:rsidRPr="00A0383B">
        <w:rPr>
          <w:i/>
          <w:iCs/>
          <w:sz w:val="20"/>
          <w:szCs w:val="20"/>
        </w:rPr>
        <w:t>Tx Turnaround</w:t>
      </w:r>
      <w:r>
        <w:rPr>
          <w:i/>
          <w:iCs/>
          <w:sz w:val="20"/>
          <w:szCs w:val="20"/>
        </w:rPr>
        <w:t xml:space="preserve">, </w:t>
      </w:r>
    </w:p>
    <w:p w14:paraId="474649BA" w14:textId="77777777" w:rsidR="009236B7" w:rsidRDefault="009236B7" w:rsidP="009236B7">
      <w:pPr>
        <w:pStyle w:val="aff2"/>
        <w:numPr>
          <w:ilvl w:val="0"/>
          <w:numId w:val="15"/>
        </w:numPr>
        <w:snapToGrid w:val="0"/>
        <w:spacing w:beforeLines="50" w:before="180" w:afterLines="50"/>
        <w:jc w:val="both"/>
        <w:rPr>
          <w:i/>
          <w:sz w:val="20"/>
        </w:rPr>
      </w:pPr>
      <w:r>
        <w:rPr>
          <w:i/>
          <w:sz w:val="20"/>
        </w:rPr>
        <w:t>The</w:t>
      </w:r>
      <w:r>
        <w:rPr>
          <w:i/>
          <w:sz w:val="20"/>
        </w:rPr>
        <w:t xml:space="preserve"> number of SL</w:t>
      </w:r>
      <w:r>
        <w:rPr>
          <w:i/>
          <w:sz w:val="20"/>
        </w:rPr>
        <w:t>-PRS symbols can be {1, 2, 4, 6, 12}</w:t>
      </w:r>
    </w:p>
    <w:p w14:paraId="6E873F75" w14:textId="77777777" w:rsidR="009236B7" w:rsidRDefault="009236B7" w:rsidP="009236B7">
      <w:pPr>
        <w:pStyle w:val="aff2"/>
        <w:numPr>
          <w:ilvl w:val="1"/>
          <w:numId w:val="15"/>
        </w:numPr>
        <w:snapToGrid w:val="0"/>
        <w:spacing w:beforeLines="50" w:before="180" w:afterLines="50"/>
        <w:jc w:val="both"/>
        <w:rPr>
          <w:i/>
          <w:sz w:val="20"/>
        </w:rPr>
      </w:pPr>
      <w:r>
        <w:rPr>
          <w:i/>
          <w:sz w:val="20"/>
        </w:rPr>
        <w:t>One symbol SL-PRS excluding the AGC-symbol and Gap symbol should be supported</w:t>
      </w:r>
    </w:p>
    <w:p w14:paraId="559A5201" w14:textId="77777777" w:rsidR="009236B7" w:rsidRDefault="009236B7" w:rsidP="009236B7">
      <w:pPr>
        <w:pStyle w:val="aff2"/>
        <w:numPr>
          <w:ilvl w:val="0"/>
          <w:numId w:val="15"/>
        </w:numPr>
        <w:snapToGrid w:val="0"/>
        <w:spacing w:beforeLines="50" w:before="180" w:afterLines="50"/>
        <w:jc w:val="both"/>
        <w:rPr>
          <w:i/>
          <w:sz w:val="20"/>
        </w:rPr>
      </w:pPr>
      <w:r>
        <w:rPr>
          <w:i/>
          <w:sz w:val="20"/>
        </w:rPr>
        <w:t>Consider Comb size N &gt; 12, e.g. N = 16, 24, 32 and 64</w:t>
      </w:r>
      <w:bookmarkStart w:id="9" w:name="_GoBack"/>
      <w:bookmarkEnd w:id="9"/>
    </w:p>
    <w:p w14:paraId="3B5A7858" w14:textId="77777777" w:rsidR="00216D75" w:rsidRDefault="00216D75" w:rsidP="00216D75">
      <w:pPr>
        <w:autoSpaceDE w:val="0"/>
        <w:autoSpaceDN w:val="0"/>
        <w:adjustRightInd w:val="0"/>
        <w:snapToGrid w:val="0"/>
        <w:spacing w:beforeLines="50" w:before="180"/>
        <w:jc w:val="both"/>
        <w:rPr>
          <w:rFonts w:eastAsia="Times New Roman"/>
          <w:i/>
          <w:sz w:val="20"/>
          <w:szCs w:val="20"/>
          <w:lang w:eastAsia="en-US"/>
        </w:rPr>
      </w:pPr>
      <w:r w:rsidRPr="00C66D49">
        <w:rPr>
          <w:b/>
          <w:bCs/>
          <w:i/>
          <w:iCs/>
          <w:sz w:val="20"/>
          <w:szCs w:val="20"/>
        </w:rPr>
        <w:lastRenderedPageBreak/>
        <w:t xml:space="preserve">Proposal </w:t>
      </w:r>
      <w:r>
        <w:rPr>
          <w:b/>
          <w:bCs/>
          <w:i/>
          <w:iCs/>
          <w:sz w:val="20"/>
          <w:szCs w:val="20"/>
        </w:rPr>
        <w:t>3</w:t>
      </w:r>
      <w:r w:rsidRPr="00C66D49">
        <w:rPr>
          <w:b/>
          <w:bCs/>
          <w:i/>
          <w:iCs/>
          <w:sz w:val="20"/>
          <w:szCs w:val="20"/>
        </w:rPr>
        <w:t>:</w:t>
      </w:r>
      <w:r w:rsidRPr="00C66D49">
        <w:rPr>
          <w:i/>
          <w:iCs/>
          <w:sz w:val="20"/>
          <w:szCs w:val="20"/>
        </w:rPr>
        <w:t xml:space="preserve"> </w:t>
      </w:r>
      <w:r w:rsidRPr="00B55449">
        <w:rPr>
          <w:rFonts w:eastAsia="Times New Roman"/>
          <w:i/>
          <w:sz w:val="20"/>
          <w:szCs w:val="20"/>
          <w:lang w:eastAsia="en-US"/>
        </w:rPr>
        <w:t xml:space="preserve">At least for the dedicated SL-PRS resource pool, and assuming a SL-PRS resource with contiguous symbols,  </w:t>
      </w:r>
    </w:p>
    <w:p w14:paraId="18C79586" w14:textId="77777777" w:rsidR="00216D75" w:rsidRPr="00DD08D0" w:rsidRDefault="00216D75" w:rsidP="00216D75">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AGC training</w:t>
      </w:r>
    </w:p>
    <w:p w14:paraId="3BBFF48C" w14:textId="77777777" w:rsidR="00216D75" w:rsidRDefault="00216D75" w:rsidP="00216D75">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preceding </w:t>
      </w:r>
      <w:r w:rsidRPr="00DD08D0">
        <w:rPr>
          <w:rFonts w:eastAsia="Times New Roman"/>
          <w:i/>
          <w:sz w:val="20"/>
          <w:szCs w:val="20"/>
          <w:lang w:val="en-GB" w:eastAsia="en-US"/>
        </w:rPr>
        <w:t>a SL-PRS resource</w:t>
      </w:r>
      <w:r w:rsidRPr="00DD08D0">
        <w:rPr>
          <w:rFonts w:eastAsia="Times New Roman"/>
          <w:i/>
          <w:sz w:val="20"/>
          <w:szCs w:val="20"/>
          <w:lang w:eastAsia="en-US"/>
        </w:rPr>
        <w:t xml:space="preserve"> can be used </w:t>
      </w:r>
    </w:p>
    <w:p w14:paraId="4E15618C" w14:textId="77777777" w:rsidR="00216D75" w:rsidRPr="00DD08D0" w:rsidRDefault="00216D75" w:rsidP="00216D75">
      <w:pPr>
        <w:pStyle w:val="aff2"/>
        <w:numPr>
          <w:ilvl w:val="1"/>
          <w:numId w:val="32"/>
        </w:numPr>
        <w:snapToGrid w:val="0"/>
        <w:spacing w:after="0"/>
        <w:ind w:hanging="357"/>
        <w:rPr>
          <w:rFonts w:eastAsia="Times New Roman"/>
          <w:i/>
          <w:sz w:val="20"/>
          <w:lang w:eastAsia="en-US"/>
        </w:rPr>
      </w:pPr>
      <w:r w:rsidRPr="00DD08D0">
        <w:rPr>
          <w:rFonts w:eastAsia="Times New Roman"/>
          <w:i/>
          <w:sz w:val="20"/>
          <w:lang w:eastAsia="en-US"/>
        </w:rPr>
        <w:t>AGC symbol is a duplication of the expected symbol next to the final symbol of fully/partially staggered SL-PRS</w:t>
      </w:r>
    </w:p>
    <w:p w14:paraId="254C04AA" w14:textId="77777777" w:rsidR="00216D75" w:rsidRPr="00DD08D0" w:rsidRDefault="00216D75" w:rsidP="00216D75">
      <w:pPr>
        <w:numPr>
          <w:ilvl w:val="0"/>
          <w:numId w:val="32"/>
        </w:numPr>
        <w:snapToGrid w:val="0"/>
        <w:ind w:left="880" w:hanging="357"/>
        <w:jc w:val="both"/>
        <w:rPr>
          <w:rFonts w:eastAsia="Times New Roman"/>
          <w:i/>
          <w:sz w:val="20"/>
          <w:szCs w:val="20"/>
          <w:lang w:eastAsia="en-US"/>
        </w:rPr>
      </w:pPr>
      <w:r w:rsidRPr="00DD08D0">
        <w:rPr>
          <w:rFonts w:eastAsia="Times New Roman"/>
          <w:i/>
          <w:sz w:val="20"/>
          <w:szCs w:val="20"/>
          <w:lang w:eastAsia="en-US"/>
        </w:rPr>
        <w:t>With regards to Rx/Tx turnaround</w:t>
      </w:r>
    </w:p>
    <w:p w14:paraId="705BA833" w14:textId="77777777" w:rsidR="00216D75" w:rsidRPr="00DD08D0" w:rsidRDefault="00216D75" w:rsidP="00216D75">
      <w:pPr>
        <w:numPr>
          <w:ilvl w:val="1"/>
          <w:numId w:val="32"/>
        </w:numPr>
        <w:snapToGrid w:val="0"/>
        <w:ind w:hanging="357"/>
        <w:jc w:val="both"/>
        <w:rPr>
          <w:rFonts w:eastAsia="Times New Roman"/>
          <w:i/>
          <w:sz w:val="20"/>
          <w:szCs w:val="20"/>
          <w:lang w:eastAsia="en-US"/>
        </w:rPr>
      </w:pPr>
      <w:r w:rsidRPr="00DD08D0">
        <w:rPr>
          <w:rFonts w:eastAsia="Times New Roman"/>
          <w:i/>
          <w:sz w:val="20"/>
          <w:szCs w:val="20"/>
          <w:lang w:eastAsia="en-US"/>
        </w:rPr>
        <w:t xml:space="preserve">One symbol after a </w:t>
      </w:r>
      <w:r w:rsidRPr="00DD08D0">
        <w:rPr>
          <w:rFonts w:eastAsia="Times New Roman"/>
          <w:i/>
          <w:sz w:val="20"/>
          <w:szCs w:val="20"/>
          <w:lang w:val="en-GB" w:eastAsia="en-US"/>
        </w:rPr>
        <w:t>SL-PRS resourc</w:t>
      </w:r>
      <w:r>
        <w:rPr>
          <w:rFonts w:eastAsia="Times New Roman"/>
          <w:i/>
          <w:sz w:val="20"/>
          <w:szCs w:val="20"/>
          <w:lang w:val="en-GB" w:eastAsia="en-US"/>
        </w:rPr>
        <w:t xml:space="preserve">e </w:t>
      </w:r>
      <w:r w:rsidRPr="00DD08D0">
        <w:rPr>
          <w:rFonts w:eastAsia="Times New Roman"/>
          <w:i/>
          <w:sz w:val="20"/>
          <w:szCs w:val="20"/>
          <w:lang w:eastAsia="en-US"/>
        </w:rPr>
        <w:t>can be used</w:t>
      </w:r>
    </w:p>
    <w:p w14:paraId="623749BB" w14:textId="77777777" w:rsidR="00655B13" w:rsidRPr="0083441B" w:rsidRDefault="00655B13" w:rsidP="00655B13">
      <w:pPr>
        <w:autoSpaceDE w:val="0"/>
        <w:autoSpaceDN w:val="0"/>
        <w:adjustRightInd w:val="0"/>
        <w:snapToGrid w:val="0"/>
        <w:spacing w:beforeLines="50" w:before="180" w:afterLines="50" w:after="180"/>
        <w:jc w:val="both"/>
        <w:rPr>
          <w:i/>
          <w:iCs/>
          <w:sz w:val="20"/>
          <w:szCs w:val="20"/>
        </w:rPr>
      </w:pPr>
      <w:r>
        <w:rPr>
          <w:b/>
          <w:bCs/>
          <w:i/>
          <w:iCs/>
          <w:sz w:val="20"/>
          <w:szCs w:val="20"/>
        </w:rPr>
        <w:t>Proposal 4:</w:t>
      </w:r>
      <w:r>
        <w:rPr>
          <w:i/>
          <w:iCs/>
          <w:sz w:val="20"/>
          <w:szCs w:val="20"/>
        </w:rPr>
        <w:t xml:space="preserve"> </w:t>
      </w:r>
      <w:r w:rsidRPr="00682B79">
        <w:rPr>
          <w:i/>
          <w:iCs/>
          <w:sz w:val="20"/>
          <w:szCs w:val="20"/>
        </w:rPr>
        <w:t>For</w:t>
      </w:r>
      <w:r>
        <w:rPr>
          <w:i/>
          <w:iCs/>
          <w:sz w:val="20"/>
          <w:szCs w:val="20"/>
        </w:rPr>
        <w:t xml:space="preserve"> SL-PRS</w:t>
      </w:r>
      <w:r w:rsidRPr="00682B79">
        <w:rPr>
          <w:i/>
          <w:iCs/>
          <w:sz w:val="20"/>
          <w:szCs w:val="20"/>
        </w:rPr>
        <w:t xml:space="preserve"> Open Loop PC</w:t>
      </w:r>
      <w:r>
        <w:rPr>
          <w:i/>
          <w:iCs/>
          <w:sz w:val="20"/>
          <w:szCs w:val="20"/>
        </w:rPr>
        <w:t>, the design of power control formula use PSSCH’s power control formula as a starting point.</w:t>
      </w:r>
    </w:p>
    <w:p w14:paraId="0B449C92" w14:textId="4719D0E4" w:rsidR="00655B13" w:rsidRPr="000807E7" w:rsidRDefault="000807E7">
      <w:pPr>
        <w:autoSpaceDE w:val="0"/>
        <w:autoSpaceDN w:val="0"/>
        <w:adjustRightInd w:val="0"/>
        <w:snapToGrid w:val="0"/>
        <w:spacing w:beforeLines="50" w:before="180" w:afterLines="50" w:after="180"/>
        <w:jc w:val="both"/>
        <w:rPr>
          <w:i/>
          <w:iCs/>
          <w:sz w:val="20"/>
          <w:szCs w:val="20"/>
        </w:rPr>
      </w:pPr>
      <w:r>
        <w:rPr>
          <w:b/>
          <w:bCs/>
          <w:i/>
          <w:iCs/>
          <w:sz w:val="20"/>
          <w:szCs w:val="20"/>
        </w:rPr>
        <w:t>Proposal 5:</w:t>
      </w:r>
      <w:r>
        <w:rPr>
          <w:i/>
          <w:iCs/>
          <w:sz w:val="20"/>
          <w:szCs w:val="20"/>
        </w:rPr>
        <w:t xml:space="preserve"> </w:t>
      </w:r>
      <w:r w:rsidRPr="00682B79">
        <w:rPr>
          <w:i/>
          <w:iCs/>
          <w:sz w:val="20"/>
          <w:szCs w:val="20"/>
        </w:rPr>
        <w:t xml:space="preserve">For SL-PRS transmissions in a dedicated resource pool, with regards to the power control for SL-PRS </w:t>
      </w:r>
      <w:r>
        <w:rPr>
          <w:i/>
          <w:iCs/>
          <w:sz w:val="20"/>
          <w:szCs w:val="20"/>
        </w:rPr>
        <w:t>consider Close Loop PC by introducing adjustment factors.</w:t>
      </w: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44F66F4F" w14:textId="044DE57F" w:rsidR="00CE5C7B" w:rsidRPr="00CE5C7B" w:rsidRDefault="00CE5C7B" w:rsidP="00CE5C7B">
      <w:pPr>
        <w:numPr>
          <w:ilvl w:val="0"/>
          <w:numId w:val="23"/>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773B3E8B" w14:textId="18E4B39E" w:rsidR="00DA610C" w:rsidRDefault="00BE1760">
      <w:pPr>
        <w:numPr>
          <w:ilvl w:val="0"/>
          <w:numId w:val="23"/>
        </w:numPr>
        <w:autoSpaceDE w:val="0"/>
        <w:autoSpaceDN w:val="0"/>
        <w:adjustRightInd w:val="0"/>
        <w:snapToGrid w:val="0"/>
        <w:jc w:val="both"/>
        <w:rPr>
          <w:sz w:val="20"/>
          <w:szCs w:val="20"/>
        </w:rPr>
      </w:pPr>
      <w:r>
        <w:rPr>
          <w:sz w:val="20"/>
          <w:szCs w:val="20"/>
        </w:rPr>
        <w:t>3GPP TS 38.211 h</w:t>
      </w:r>
      <w:r w:rsidR="00CF1051">
        <w:rPr>
          <w:sz w:val="20"/>
          <w:szCs w:val="20"/>
        </w:rPr>
        <w:t>4</w:t>
      </w:r>
      <w:r>
        <w:rPr>
          <w:sz w:val="20"/>
          <w:szCs w:val="20"/>
        </w:rPr>
        <w:t>0: "Physical channels and modulation (Release 17)"</w:t>
      </w:r>
    </w:p>
    <w:p w14:paraId="49943EA9" w14:textId="769C14CC" w:rsidR="00DA610C" w:rsidRDefault="00BE1760">
      <w:pPr>
        <w:numPr>
          <w:ilvl w:val="0"/>
          <w:numId w:val="23"/>
        </w:numPr>
        <w:autoSpaceDE w:val="0"/>
        <w:autoSpaceDN w:val="0"/>
        <w:adjustRightInd w:val="0"/>
        <w:snapToGrid w:val="0"/>
        <w:jc w:val="both"/>
        <w:rPr>
          <w:sz w:val="20"/>
          <w:szCs w:val="20"/>
        </w:rPr>
      </w:pPr>
      <w:r>
        <w:rPr>
          <w:sz w:val="20"/>
          <w:szCs w:val="20"/>
        </w:rPr>
        <w:t>3GPP TS 38.213 h</w:t>
      </w:r>
      <w:r w:rsidR="00CF1051">
        <w:rPr>
          <w:sz w:val="20"/>
          <w:szCs w:val="20"/>
        </w:rPr>
        <w:t>4</w:t>
      </w:r>
      <w:r>
        <w:rPr>
          <w:sz w:val="20"/>
          <w:szCs w:val="20"/>
        </w:rPr>
        <w:t>0: "NR; Physical layer procedures for control (Release 17)".</w:t>
      </w:r>
    </w:p>
    <w:p w14:paraId="5734BAE0" w14:textId="6C3BAF7D" w:rsidR="00DA610C" w:rsidRDefault="00DA610C" w:rsidP="002D1083">
      <w:pPr>
        <w:autoSpaceDE w:val="0"/>
        <w:autoSpaceDN w:val="0"/>
        <w:adjustRightInd w:val="0"/>
        <w:snapToGrid w:val="0"/>
        <w:jc w:val="both"/>
        <w:rPr>
          <w:sz w:val="20"/>
          <w:szCs w:val="20"/>
          <w:lang w:val="en-GB" w:eastAsia="en-GB"/>
        </w:rPr>
      </w:pPr>
    </w:p>
    <w:p w14:paraId="48C83DC1" w14:textId="77777777" w:rsidR="00CD3597" w:rsidRPr="00CD3597" w:rsidRDefault="00CD3597" w:rsidP="002D1083">
      <w:pPr>
        <w:autoSpaceDE w:val="0"/>
        <w:autoSpaceDN w:val="0"/>
        <w:adjustRightInd w:val="0"/>
        <w:snapToGrid w:val="0"/>
        <w:jc w:val="both"/>
        <w:rPr>
          <w:sz w:val="20"/>
          <w:szCs w:val="20"/>
          <w:lang w:eastAsia="en-GB"/>
        </w:rPr>
      </w:pPr>
    </w:p>
    <w:sectPr w:rsidR="00CD3597" w:rsidRPr="00CD3597">
      <w:footerReference w:type="default" r:id="rId3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BCFB0" w14:textId="77777777" w:rsidR="006C47A5" w:rsidRDefault="006C47A5">
      <w:r>
        <w:separator/>
      </w:r>
    </w:p>
  </w:endnote>
  <w:endnote w:type="continuationSeparator" w:id="0">
    <w:p w14:paraId="18633B2F" w14:textId="77777777" w:rsidR="006C47A5" w:rsidRDefault="006C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02ACAFD6" w14:textId="77777777" w:rsidR="00FC5CED" w:rsidRDefault="00FC5CED">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FC5CED" w:rsidRDefault="00FC5CE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72DA1" w14:textId="77777777" w:rsidR="006C47A5" w:rsidRDefault="006C47A5">
      <w:r>
        <w:separator/>
      </w:r>
    </w:p>
  </w:footnote>
  <w:footnote w:type="continuationSeparator" w:id="0">
    <w:p w14:paraId="54806CFD" w14:textId="77777777" w:rsidR="006C47A5" w:rsidRDefault="006C4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FFFFFF89"/>
    <w:multiLevelType w:val="singleLevel"/>
    <w:tmpl w:val="FFFFFF8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6" w15:restartNumberingAfterBreak="0">
    <w:nsid w:val="080F4958"/>
    <w:multiLevelType w:val="multilevel"/>
    <w:tmpl w:val="080F4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0ABF6EE6"/>
    <w:multiLevelType w:val="multilevel"/>
    <w:tmpl w:val="762E3E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06F1565"/>
    <w:multiLevelType w:val="multilevel"/>
    <w:tmpl w:val="F6966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3"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A305826"/>
    <w:multiLevelType w:val="multilevel"/>
    <w:tmpl w:val="1A30582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22C1A79"/>
    <w:multiLevelType w:val="multilevel"/>
    <w:tmpl w:val="91DE9C8C"/>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37004"/>
    <w:multiLevelType w:val="multilevel"/>
    <w:tmpl w:val="57D63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4BC75AF"/>
    <w:multiLevelType w:val="multilevel"/>
    <w:tmpl w:val="24BC75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7C708F"/>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33073E59"/>
    <w:multiLevelType w:val="multilevel"/>
    <w:tmpl w:val="33073E59"/>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2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3573B1"/>
    <w:multiLevelType w:val="multilevel"/>
    <w:tmpl w:val="5B20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2C2E99"/>
    <w:multiLevelType w:val="multilevel"/>
    <w:tmpl w:val="D6D2F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CF3753"/>
    <w:multiLevelType w:val="multilevel"/>
    <w:tmpl w:val="7602C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540DB6"/>
    <w:multiLevelType w:val="multilevel"/>
    <w:tmpl w:val="552C054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B66DFD"/>
    <w:multiLevelType w:val="multilevel"/>
    <w:tmpl w:val="286C3D2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6C264013"/>
    <w:multiLevelType w:val="multilevel"/>
    <w:tmpl w:val="A0ECF0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71182C"/>
    <w:multiLevelType w:val="multilevel"/>
    <w:tmpl w:val="737118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E20A5AC8"/>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5D8262B"/>
    <w:multiLevelType w:val="multilevel"/>
    <w:tmpl w:val="01CA1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031929"/>
    <w:multiLevelType w:val="multilevel"/>
    <w:tmpl w:val="76031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6641BB6"/>
    <w:multiLevelType w:val="multilevel"/>
    <w:tmpl w:val="B25AA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34"/>
  </w:num>
  <w:num w:numId="2">
    <w:abstractNumId w:val="28"/>
  </w:num>
  <w:num w:numId="3">
    <w:abstractNumId w:val="18"/>
  </w:num>
  <w:num w:numId="4">
    <w:abstractNumId w:val="23"/>
  </w:num>
  <w:num w:numId="5">
    <w:abstractNumId w:val="35"/>
  </w:num>
  <w:num w:numId="6">
    <w:abstractNumId w:val="10"/>
  </w:num>
  <w:num w:numId="7">
    <w:abstractNumId w:val="25"/>
  </w:num>
  <w:num w:numId="8">
    <w:abstractNumId w:val="42"/>
  </w:num>
  <w:num w:numId="9">
    <w:abstractNumId w:val="21"/>
  </w:num>
  <w:num w:numId="10">
    <w:abstractNumId w:val="22"/>
  </w:num>
  <w:num w:numId="11">
    <w:abstractNumId w:val="4"/>
  </w:num>
  <w:num w:numId="12">
    <w:abstractNumId w:val="0"/>
  </w:num>
  <w:num w:numId="13">
    <w:abstractNumId w:val="38"/>
  </w:num>
  <w:num w:numId="14">
    <w:abstractNumId w:val="14"/>
  </w:num>
  <w:num w:numId="15">
    <w:abstractNumId w:val="8"/>
  </w:num>
  <w:num w:numId="16">
    <w:abstractNumId w:val="32"/>
  </w:num>
  <w:num w:numId="17">
    <w:abstractNumId w:val="40"/>
  </w:num>
  <w:num w:numId="18">
    <w:abstractNumId w:val="6"/>
  </w:num>
  <w:num w:numId="19">
    <w:abstractNumId w:val="46"/>
  </w:num>
  <w:num w:numId="20">
    <w:abstractNumId w:val="16"/>
  </w:num>
  <w:num w:numId="21">
    <w:abstractNumId w:val="5"/>
  </w:num>
  <w:num w:numId="22">
    <w:abstractNumId w:val="12"/>
  </w:num>
  <w:num w:numId="23">
    <w:abstractNumId w:val="1"/>
  </w:num>
  <w:num w:numId="24">
    <w:abstractNumId w:val="43"/>
  </w:num>
  <w:num w:numId="25">
    <w:abstractNumId w:val="13"/>
  </w:num>
  <w:num w:numId="26">
    <w:abstractNumId w:val="36"/>
  </w:num>
  <w:num w:numId="27">
    <w:abstractNumId w:val="26"/>
  </w:num>
  <w:num w:numId="28">
    <w:abstractNumId w:val="41"/>
  </w:num>
  <w:num w:numId="29">
    <w:abstractNumId w:val="3"/>
  </w:num>
  <w:num w:numId="30">
    <w:abstractNumId w:val="29"/>
  </w:num>
  <w:num w:numId="31">
    <w:abstractNumId w:val="2"/>
  </w:num>
  <w:num w:numId="32">
    <w:abstractNumId w:val="7"/>
  </w:num>
  <w:num w:numId="33">
    <w:abstractNumId w:val="27"/>
  </w:num>
  <w:num w:numId="34">
    <w:abstractNumId w:val="30"/>
  </w:num>
  <w:num w:numId="35">
    <w:abstractNumId w:val="19"/>
  </w:num>
  <w:num w:numId="36">
    <w:abstractNumId w:val="33"/>
  </w:num>
  <w:num w:numId="37">
    <w:abstractNumId w:val="47"/>
  </w:num>
  <w:num w:numId="38">
    <w:abstractNumId w:val="11"/>
  </w:num>
  <w:num w:numId="39">
    <w:abstractNumId w:val="37"/>
  </w:num>
  <w:num w:numId="40">
    <w:abstractNumId w:val="17"/>
  </w:num>
  <w:num w:numId="41">
    <w:abstractNumId w:val="39"/>
  </w:num>
  <w:num w:numId="42">
    <w:abstractNumId w:val="9"/>
  </w:num>
  <w:num w:numId="43">
    <w:abstractNumId w:val="20"/>
  </w:num>
  <w:num w:numId="44">
    <w:abstractNumId w:val="48"/>
  </w:num>
  <w:num w:numId="45">
    <w:abstractNumId w:val="31"/>
  </w:num>
  <w:num w:numId="46">
    <w:abstractNumId w:val="45"/>
  </w:num>
  <w:num w:numId="47">
    <w:abstractNumId w:val="24"/>
  </w:num>
  <w:num w:numId="48">
    <w:abstractNumId w:val="49"/>
  </w:num>
  <w:num w:numId="49">
    <w:abstractNumId w:val="15"/>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692"/>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DAD"/>
    <w:rsid w:val="002C7E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59F"/>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4DB"/>
    <w:rsid w:val="00D455E5"/>
    <w:rsid w:val="00D457F6"/>
    <w:rsid w:val="00D45942"/>
    <w:rsid w:val="00D45DC2"/>
    <w:rsid w:val="00D46391"/>
    <w:rsid w:val="00D4641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6F0"/>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54F"/>
    <w:rsid w:val="00FC3631"/>
    <w:rsid w:val="00FC39A4"/>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298683138">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F726D1-B103-4068-AFD4-CF98D49F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6740</TotalTime>
  <Pages>7</Pages>
  <Words>2752</Words>
  <Characters>15688</Characters>
  <Application>Microsoft Office Word</Application>
  <DocSecurity>0</DocSecurity>
  <Lines>130</Lines>
  <Paragraphs>36</Paragraphs>
  <ScaleCrop>false</ScaleCrop>
  <Company>ZTE</Company>
  <LinksUpToDate>false</LinksUpToDate>
  <CharactersWithSpaces>18404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Mengzhen Li (ZTE)</cp:lastModifiedBy>
  <cp:revision>1030</cp:revision>
  <dcterms:created xsi:type="dcterms:W3CDTF">2018-09-25T08:33:00Z</dcterms:created>
  <dcterms:modified xsi:type="dcterms:W3CDTF">2023-02-16T02:41:00Z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